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8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9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5, 2026</w:t>
      </w:r>
    </w:p>
    <w:p>
      <w:pPr>
        <w:spacing w:after="0" w:line="31"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8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OneSpan Inc.</w:t>
      </w:r>
    </w:p>
    <w:p>
      <w:pPr>
        <w:spacing w:after="0" w:line="5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7"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135" w:lineRule="exact"/>
        <w:rPr>
          <w:sz w:val="24"/>
          <w:szCs w:val="24"/>
          <w:color w:val="auto"/>
        </w:rPr>
      </w:pPr>
    </w:p>
    <w:tbl>
      <w:tblPr>
        <w:tblLayout w:type="fixed"/>
        <w:tblInd w:w="720" w:type="dxa"/>
        <w:tblCellMar>
          <w:top w:w="0" w:type="dxa"/>
          <w:left w:w="0" w:type="dxa"/>
          <w:bottom w:w="0" w:type="dxa"/>
          <w:right w:w="0" w:type="dxa"/>
        </w:tblCellMar>
      </w:tblPr>
      <w:tr>
        <w:trPr>
          <w:trHeight w:val="238"/>
        </w:trPr>
        <w:tc>
          <w:tcPr>
            <w:tcW w:w="3320" w:type="dxa"/>
            <w:vAlign w:val="bottom"/>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3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000-24389</w:t>
            </w:r>
          </w:p>
        </w:tc>
        <w:tc>
          <w:tcPr>
            <w:tcW w:w="2660" w:type="dxa"/>
            <w:vAlign w:val="bottom"/>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rPr>
              <w:t>36-4169320</w:t>
            </w:r>
          </w:p>
        </w:tc>
      </w:tr>
      <w:tr>
        <w:trPr>
          <w:trHeight w:val="221"/>
        </w:trPr>
        <w:tc>
          <w:tcPr>
            <w:tcW w:w="332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33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266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320" w:type="dxa"/>
            <w:vAlign w:val="bottom"/>
          </w:tcPr>
          <w:p>
            <w:pPr>
              <w:jc w:val="center"/>
              <w:ind w:right="910"/>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33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2660" w:type="dxa"/>
            <w:vAlign w:val="bottom"/>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bl>
    <w:p>
      <w:pPr>
        <w:spacing w:after="0" w:line="20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 Marina Park Drive, Unit 1410</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Boston, Massachusetts 02210</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pacing w:after="0" w:line="95"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(312) 766-4001</w:t>
      </w:r>
    </w:p>
    <w:p>
      <w:pPr>
        <w:spacing w:after="0" w:line="117" w:lineRule="exact"/>
        <w:rPr>
          <w:sz w:val="24"/>
          <w:szCs w:val="24"/>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w:t>
      </w:r>
    </w:p>
    <w:p>
      <w:pPr>
        <w:spacing w:after="0" w:line="9"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20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444444"/>
        </w:rPr>
        <w:t>Securities registered pursuant to Section 12(b) of the Act:</w:t>
      </w:r>
    </w:p>
    <w:p>
      <w:pPr>
        <w:spacing w:after="0" w:line="142"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96"/>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Shares</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OSPN</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NASDAQ</w:t>
            </w:r>
          </w:p>
        </w:tc>
      </w:tr>
    </w:tbl>
    <w:p>
      <w:pPr>
        <w:spacing w:after="0" w:line="17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(see</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General Instruction A.2. below):</w:t>
      </w:r>
    </w:p>
    <w:p>
      <w:pPr>
        <w:spacing w:after="0" w:line="159"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13" w:lineRule="exact"/>
        <w:rPr>
          <w:rFonts w:ascii="MS PGothic" w:cs="MS PGothic" w:eastAsia="MS PGothic" w:hAnsi="MS PGothic"/>
          <w:sz w:val="16"/>
          <w:szCs w:val="16"/>
          <w:color w:val="auto"/>
          <w:highlight w:val="black"/>
        </w:rPr>
      </w:pPr>
    </w:p>
    <w:p>
      <w:pPr>
        <w:ind w:left="480" w:hanging="454"/>
        <w:spacing w:after="0"/>
        <w:tabs>
          <w:tab w:leader="none" w:pos="48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13" w:lineRule="exact"/>
        <w:rPr>
          <w:rFonts w:ascii="MS PGothic" w:cs="MS PGothic" w:eastAsia="MS PGothic" w:hAnsi="MS PGothic"/>
          <w:sz w:val="16"/>
          <w:szCs w:val="16"/>
          <w:color w:val="auto"/>
          <w:highlight w:val="black"/>
        </w:rPr>
      </w:pPr>
    </w:p>
    <w:p>
      <w:pPr>
        <w:ind w:left="480" w:hanging="454"/>
        <w:spacing w:after="0"/>
        <w:tabs>
          <w:tab w:leader="none" w:pos="48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13" w:lineRule="exact"/>
        <w:rPr>
          <w:rFonts w:ascii="MS PGothic" w:cs="MS PGothic" w:eastAsia="MS PGothic" w:hAnsi="MS PGothic"/>
          <w:sz w:val="16"/>
          <w:szCs w:val="16"/>
          <w:color w:val="auto"/>
          <w:highlight w:val="black"/>
        </w:rPr>
      </w:pPr>
    </w:p>
    <w:p>
      <w:pPr>
        <w:ind w:left="480" w:hanging="454"/>
        <w:spacing w:after="0"/>
        <w:tabs>
          <w:tab w:leader="none" w:pos="48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35" w:lineRule="exact"/>
        <w:rPr>
          <w:sz w:val="24"/>
          <w:szCs w:val="24"/>
          <w:color w:val="auto"/>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Emerging growth company  </w:t>
      </w:r>
      <w:r>
        <w:rPr>
          <w:rFonts w:ascii="Wingdings" w:cs="Wingdings" w:eastAsia="Wingdings" w:hAnsi="Wingdings"/>
          <w:sz w:val="16"/>
          <w:szCs w:val="16"/>
          <w:b w:val="1"/>
          <w:bCs w:val="1"/>
          <w:color w:val="auto"/>
        </w:rPr>
        <w:t>o</w:t>
      </w:r>
    </w:p>
    <w:p>
      <w:pPr>
        <w:spacing w:after="0" w:line="113" w:lineRule="exact"/>
        <w:rPr>
          <w:sz w:val="24"/>
          <w:szCs w:val="24"/>
          <w:color w:val="auto"/>
        </w:rPr>
      </w:pPr>
    </w:p>
    <w:p>
      <w:pPr>
        <w:ind w:right="600"/>
        <w:spacing w:after="0" w:line="28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743585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1062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62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113665</wp:posOffset>
            </wp:positionV>
            <wp:extent cx="71062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ectPr>
          <w:pgSz w:w="11900" w:h="16838" w:orient="portrait"/>
          <w:cols w:equalWidth="0" w:num="1">
            <w:col w:w="11260"/>
          </w:cols>
          <w:pgMar w:left="320" w:top="1334" w:right="319" w:bottom="1440" w:gutter="0" w:footer="0" w:header="0"/>
        </w:sectPr>
      </w:pPr>
    </w:p>
    <w:bookmarkStart w:id="1" w:name="page2"/>
    <w:bookmarkEnd w:id="1"/>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discussed in Item 5.07 below, on June 5, 2026, the stockholders of OneSpan Inc. (the “Company”) approved an amendment (the “Amendment”) to the Company’s Amended and Restated 2019 Omnibus Incentive Plan (the “2019 Plan”) to increase the number of shares of common stock available for issuance thereunder by 2,000,000 shares. A copy of the Amended and Restated 2019 Plan, as amended by the Amendment, is filed as Exhibit 10.1 to this Current Report on Form 8-K and is incorporated in this Item 5.02 by reference.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June 5, 2026, the Company held its 2026 annual meeting of stockholders (the “2026 Annual Meeting”).</w:t>
      </w:r>
    </w:p>
    <w:p>
      <w:pPr>
        <w:spacing w:after="0" w:line="23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At the close of business on April 8, 2026, the record date for the determination of stockholders entitled to vote at the 2026 Annual Meeting, there were 37,071,341 shares of Company common stock outstanding. At the 2026 Annual Meeting, 31,392,771 shares of Company common stock were present in person or by proxy. Set forth below is information regarding the votes cast for each proposal:</w:t>
      </w:r>
    </w:p>
    <w:p>
      <w:pPr>
        <w:spacing w:after="0" w:line="204" w:lineRule="exact"/>
        <w:rPr>
          <w:sz w:val="20"/>
          <w:szCs w:val="20"/>
          <w:color w:val="auto"/>
        </w:rPr>
      </w:pPr>
    </w:p>
    <w:p>
      <w:pPr>
        <w:jc w:val="both"/>
        <w:ind w:left="660" w:hanging="4"/>
        <w:spacing w:after="0" w:line="250" w:lineRule="auto"/>
        <w:tabs>
          <w:tab w:leader="none" w:pos="130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seven directors to serve on the board of directors of the Company until the 2027 annual meeting of stockholders, until their successors are duly elected and qualified or until their earlier death, resignation or removal. Based on the votes set forth below, each of the seven director nominees was duly elected.</w:t>
      </w:r>
    </w:p>
    <w:p>
      <w:pPr>
        <w:spacing w:after="0" w:line="254"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Shares Voted For</w:t>
            </w:r>
          </w:p>
        </w:tc>
        <w:tc>
          <w:tcPr>
            <w:tcW w:w="18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Shares Voted Against</w:t>
            </w:r>
          </w:p>
        </w:tc>
        <w:tc>
          <w:tcPr>
            <w:tcW w:w="180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2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 Boroditsky</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22,492,552</w:t>
            </w:r>
          </w:p>
        </w:tc>
        <w:tc>
          <w:tcPr>
            <w:tcW w:w="8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4,037,762</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39,574</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4,822,883</w:t>
            </w:r>
          </w:p>
        </w:tc>
      </w:tr>
      <w:tr>
        <w:trPr>
          <w:trHeight w:val="230"/>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Garry Capers</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25,481,426</w:t>
            </w:r>
          </w:p>
        </w:tc>
        <w:tc>
          <w:tcPr>
            <w:tcW w:w="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1,008,352</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80,100</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4,822,883</w:t>
            </w:r>
          </w:p>
        </w:tc>
      </w:tr>
      <w:tr>
        <w:trPr>
          <w:trHeight w:val="229"/>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Sarika Garg</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25,904,565</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627,654</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37,669</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4,822,883</w:t>
            </w:r>
          </w:p>
        </w:tc>
      </w:tr>
      <w:tr>
        <w:trPr>
          <w:trHeight w:val="230"/>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Marianne Johnson</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20,320,165</w:t>
            </w:r>
          </w:p>
        </w:tc>
        <w:tc>
          <w:tcPr>
            <w:tcW w:w="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6,140,681</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109,042</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4,822,883</w:t>
            </w:r>
          </w:p>
        </w:tc>
      </w:tr>
      <w:tr>
        <w:trPr>
          <w:trHeight w:val="229"/>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McConnell</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21,642,406</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4,871,171</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56,311</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4,822,883</w:t>
            </w:r>
          </w:p>
        </w:tc>
      </w:tr>
      <w:tr>
        <w:trPr>
          <w:trHeight w:val="230"/>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Alfred Nietzel</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23,857,669</w:t>
            </w:r>
          </w:p>
        </w:tc>
        <w:tc>
          <w:tcPr>
            <w:tcW w:w="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2,597,667</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114,552</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4,822,883</w:t>
            </w:r>
          </w:p>
        </w:tc>
      </w:tr>
      <w:tr>
        <w:trPr>
          <w:trHeight w:val="229"/>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 Zenner</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25,896,329</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555,934</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117,625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4,822,883</w:t>
            </w:r>
          </w:p>
        </w:tc>
      </w:tr>
    </w:tbl>
    <w:p>
      <w:pPr>
        <w:spacing w:after="0" w:line="292" w:lineRule="exact"/>
        <w:rPr>
          <w:sz w:val="20"/>
          <w:szCs w:val="20"/>
          <w:color w:val="auto"/>
        </w:rPr>
      </w:pPr>
    </w:p>
    <w:p>
      <w:pPr>
        <w:ind w:left="660" w:right="20" w:hanging="4"/>
        <w:spacing w:after="0" w:line="266" w:lineRule="auto"/>
        <w:tabs>
          <w:tab w:leader="none" w:pos="130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(non-binding) basis, the Company’s named executive officer compensation. Based on the votes set forth below, the Company’s stockholders voted to approve this proposal.</w:t>
      </w:r>
    </w:p>
    <w:p>
      <w:pPr>
        <w:spacing w:after="0" w:line="239"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2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Shares Voted For</w:t>
            </w:r>
          </w:p>
        </w:tc>
        <w:tc>
          <w:tcPr>
            <w:tcW w:w="2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Shares Voted Against</w:t>
            </w:r>
          </w:p>
        </w:tc>
        <w:tc>
          <w:tcPr>
            <w:tcW w:w="2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236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23,806,502</w:t>
            </w:r>
          </w:p>
        </w:tc>
        <w:tc>
          <w:tcPr>
            <w:tcW w:w="100" w:type="dxa"/>
            <w:vAlign w:val="bottom"/>
            <w:tcBorders>
              <w:top w:val="single" w:sz="8" w:color="CCEEFF"/>
            </w:tcBorders>
            <w:shd w:val="clear" w:color="auto" w:fill="CCEEFF"/>
          </w:tcPr>
          <w:p>
            <w:pPr>
              <w:spacing w:after="0"/>
              <w:rPr>
                <w:sz w:val="19"/>
                <w:szCs w:val="19"/>
                <w:color w:val="auto"/>
              </w:rPr>
            </w:pPr>
          </w:p>
        </w:tc>
        <w:tc>
          <w:tcPr>
            <w:tcW w:w="236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2,629,264</w:t>
            </w:r>
          </w:p>
        </w:tc>
        <w:tc>
          <w:tcPr>
            <w:tcW w:w="10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134,122</w:t>
            </w:r>
          </w:p>
        </w:tc>
        <w:tc>
          <w:tcPr>
            <w:tcW w:w="8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4,822,883</w:t>
            </w:r>
          </w:p>
        </w:tc>
      </w:tr>
    </w:tbl>
    <w:p>
      <w:pPr>
        <w:spacing w:after="0" w:line="306" w:lineRule="exact"/>
        <w:rPr>
          <w:sz w:val="20"/>
          <w:szCs w:val="20"/>
          <w:color w:val="auto"/>
        </w:rPr>
      </w:pPr>
    </w:p>
    <w:p>
      <w:pPr>
        <w:ind w:left="660" w:right="220" w:hanging="4"/>
        <w:spacing w:after="0" w:line="250" w:lineRule="auto"/>
        <w:tabs>
          <w:tab w:leader="none" w:pos="130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frequency of future advisory votes on our named executive officer compensation. Based on the votes set forth below, the Company’s stockholders voted in favor of holding future advisory votes on our named executive officer compensation every ONE year</w:t>
      </w:r>
    </w:p>
    <w:p>
      <w:pPr>
        <w:spacing w:after="0" w:line="222"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Shares Voted For</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 Voted For Every</w:t>
            </w:r>
          </w:p>
        </w:tc>
        <w:tc>
          <w:tcPr>
            <w:tcW w:w="2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Shares Voted For Every</w:t>
            </w:r>
          </w:p>
        </w:tc>
        <w:tc>
          <w:tcPr>
            <w:tcW w:w="19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c>
          <w:tcPr>
            <w:tcW w:w="0" w:type="dxa"/>
            <w:vAlign w:val="bottom"/>
          </w:tcPr>
          <w:p>
            <w:pPr>
              <w:spacing w:after="0"/>
              <w:rPr>
                <w:sz w:val="1"/>
                <w:szCs w:val="1"/>
                <w:color w:val="auto"/>
              </w:rPr>
            </w:pPr>
          </w:p>
        </w:tc>
      </w:tr>
      <w:tr>
        <w:trPr>
          <w:trHeight w:val="238"/>
        </w:trPr>
        <w:tc>
          <w:tcPr>
            <w:tcW w:w="19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Every ONE Year</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TWO Year</w:t>
            </w:r>
          </w:p>
        </w:tc>
        <w:tc>
          <w:tcPr>
            <w:tcW w:w="2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THREE Year</w:t>
            </w:r>
          </w:p>
        </w:tc>
        <w:tc>
          <w:tcPr>
            <w:tcW w:w="1940" w:type="dxa"/>
            <w:vAlign w:val="bottom"/>
            <w:gridSpan w:val="2"/>
            <w:vMerge w:val="continue"/>
          </w:tcPr>
          <w:p>
            <w:pPr>
              <w:spacing w:after="0"/>
              <w:rPr>
                <w:sz w:val="20"/>
                <w:szCs w:val="20"/>
                <w:color w:val="auto"/>
              </w:rPr>
            </w:pPr>
          </w:p>
        </w:tc>
        <w:tc>
          <w:tcPr>
            <w:tcW w:w="1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25,004,190</w:t>
            </w:r>
          </w:p>
        </w:tc>
        <w:tc>
          <w:tcPr>
            <w:tcW w:w="10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24,674</w:t>
            </w:r>
          </w:p>
        </w:tc>
        <w:tc>
          <w:tcPr>
            <w:tcW w:w="8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1,448,481</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92,543</w:t>
            </w:r>
          </w:p>
        </w:tc>
        <w:tc>
          <w:tcPr>
            <w:tcW w:w="8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4,822,883</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660" w:right="20" w:hanging="4"/>
        <w:spacing w:after="0" w:line="266" w:lineRule="auto"/>
        <w:tabs>
          <w:tab w:leader="none" w:pos="130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of the Company’s 2019 Omnibus Incentive Plan to increase available shares thereunder by 2,000,000 shares. Based on the votes set forth below, the Company’s stockholders voted to approve this proposal.</w:t>
      </w:r>
    </w:p>
    <w:p>
      <w:pPr>
        <w:spacing w:after="0" w:line="239"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2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Shares Voted For</w:t>
            </w:r>
          </w:p>
        </w:tc>
        <w:tc>
          <w:tcPr>
            <w:tcW w:w="2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Shares Voted Against</w:t>
            </w:r>
          </w:p>
        </w:tc>
        <w:tc>
          <w:tcPr>
            <w:tcW w:w="2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236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22,943,147</w:t>
            </w:r>
          </w:p>
        </w:tc>
        <w:tc>
          <w:tcPr>
            <w:tcW w:w="100" w:type="dxa"/>
            <w:vAlign w:val="bottom"/>
            <w:tcBorders>
              <w:top w:val="single" w:sz="8" w:color="CCEEFF"/>
            </w:tcBorders>
            <w:shd w:val="clear" w:color="auto" w:fill="CCEEFF"/>
          </w:tcPr>
          <w:p>
            <w:pPr>
              <w:spacing w:after="0"/>
              <w:rPr>
                <w:sz w:val="19"/>
                <w:szCs w:val="19"/>
                <w:color w:val="auto"/>
              </w:rPr>
            </w:pPr>
          </w:p>
        </w:tc>
        <w:tc>
          <w:tcPr>
            <w:tcW w:w="236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3,579,775</w:t>
            </w:r>
          </w:p>
        </w:tc>
        <w:tc>
          <w:tcPr>
            <w:tcW w:w="10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46,966</w:t>
            </w:r>
          </w:p>
        </w:tc>
        <w:tc>
          <w:tcPr>
            <w:tcW w:w="8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4,822,883</w:t>
            </w:r>
          </w:p>
        </w:tc>
      </w:tr>
    </w:tbl>
    <w:p>
      <w:pPr>
        <w:spacing w:after="0" w:line="306" w:lineRule="exact"/>
        <w:rPr>
          <w:sz w:val="20"/>
          <w:szCs w:val="20"/>
          <w:color w:val="auto"/>
        </w:rPr>
      </w:pPr>
    </w:p>
    <w:p>
      <w:pPr>
        <w:ind w:left="660" w:hanging="4"/>
        <w:spacing w:after="0" w:line="266" w:lineRule="auto"/>
        <w:tabs>
          <w:tab w:leader="none" w:pos="130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on an advisory (non-binding) basis, the appointment of KPMG LLP as the Company’s independent registered public accounting firm for 2026. Based on the votes set forth below, the Company’s stockholders voted to approve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548005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tbl>
      <w:tblPr>
        <w:tblLayout w:type="fixed"/>
        <w:tblInd w:w="660" w:type="dxa"/>
        <w:tblCellMar>
          <w:top w:w="0" w:type="dxa"/>
          <w:left w:w="0" w:type="dxa"/>
          <w:bottom w:w="0" w:type="dxa"/>
          <w:right w:w="0" w:type="dxa"/>
        </w:tblCellMar>
      </w:tblPr>
      <w:tr>
        <w:trPr>
          <w:trHeight w:val="238"/>
        </w:trPr>
        <w:tc>
          <w:tcPr>
            <w:tcW w:w="2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Shares Voted For</w:t>
            </w:r>
          </w:p>
        </w:tc>
        <w:tc>
          <w:tcPr>
            <w:tcW w:w="2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Shares Voted Against</w:t>
            </w:r>
          </w:p>
        </w:tc>
        <w:tc>
          <w:tcPr>
            <w:tcW w:w="2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236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28,353,369</w:t>
            </w:r>
          </w:p>
        </w:tc>
        <w:tc>
          <w:tcPr>
            <w:tcW w:w="100" w:type="dxa"/>
            <w:vAlign w:val="bottom"/>
            <w:tcBorders>
              <w:top w:val="single" w:sz="8" w:color="CCEEFF"/>
            </w:tcBorders>
            <w:shd w:val="clear" w:color="auto" w:fill="CCEEFF"/>
          </w:tcPr>
          <w:p>
            <w:pPr>
              <w:spacing w:after="0"/>
              <w:rPr>
                <w:sz w:val="19"/>
                <w:szCs w:val="19"/>
                <w:color w:val="auto"/>
              </w:rPr>
            </w:pPr>
          </w:p>
        </w:tc>
        <w:tc>
          <w:tcPr>
            <w:tcW w:w="236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2,940,929</w:t>
            </w:r>
          </w:p>
        </w:tc>
        <w:tc>
          <w:tcPr>
            <w:tcW w:w="10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98,473</w:t>
            </w:r>
          </w:p>
        </w:tc>
        <w:tc>
          <w:tcPr>
            <w:tcW w:w="8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9" w:lineRule="exact"/>
        <w:rPr>
          <w:sz w:val="20"/>
          <w:szCs w:val="20"/>
          <w:color w:val="auto"/>
        </w:rPr>
      </w:pPr>
    </w:p>
    <w:p>
      <w:pPr>
        <w:ind w:left="740" w:hanging="408"/>
        <w:spacing w:after="0"/>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52"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1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Exhibit</w:t>
            </w:r>
          </w:p>
        </w:tc>
        <w:tc>
          <w:tcPr>
            <w:tcW w:w="20" w:type="dxa"/>
            <w:vAlign w:val="bottom"/>
            <w:tcBorders>
              <w:top w:val="single" w:sz="8" w:color="auto"/>
            </w:tcBorders>
          </w:tcPr>
          <w:p>
            <w:pPr>
              <w:spacing w:after="0"/>
              <w:rPr>
                <w:sz w:val="20"/>
                <w:szCs w:val="20"/>
                <w:color w:val="auto"/>
              </w:rPr>
            </w:pPr>
          </w:p>
        </w:tc>
        <w:tc>
          <w:tcPr>
            <w:tcW w:w="5980" w:type="dxa"/>
            <w:vAlign w:val="bottom"/>
            <w:tcBorders>
              <w:top w:val="single" w:sz="8" w:color="auto"/>
            </w:tcBorders>
          </w:tcPr>
          <w:p>
            <w:pPr>
              <w:spacing w:after="0"/>
              <w:rPr>
                <w:sz w:val="20"/>
                <w:szCs w:val="20"/>
                <w:color w:val="auto"/>
              </w:rPr>
            </w:pPr>
          </w:p>
        </w:tc>
        <w:tc>
          <w:tcPr>
            <w:tcW w:w="4100" w:type="dxa"/>
            <w:vAlign w:val="bottom"/>
            <w:tcBorders>
              <w:top w:val="single" w:sz="8" w:color="auto"/>
              <w:right w:val="single" w:sz="8" w:color="auto"/>
            </w:tcBorders>
          </w:tcPr>
          <w:p>
            <w:pPr>
              <w:spacing w:after="0"/>
              <w:rPr>
                <w:sz w:val="20"/>
                <w:szCs w:val="20"/>
                <w:color w:val="auto"/>
              </w:rPr>
            </w:pPr>
          </w:p>
        </w:tc>
      </w:tr>
      <w:tr>
        <w:trPr>
          <w:trHeight w:val="234"/>
        </w:trPr>
        <w:tc>
          <w:tcPr>
            <w:tcW w:w="11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Number</w:t>
            </w:r>
          </w:p>
        </w:tc>
        <w:tc>
          <w:tcPr>
            <w:tcW w:w="1010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Description</w:t>
            </w:r>
          </w:p>
        </w:tc>
      </w:tr>
      <w:tr>
        <w:trPr>
          <w:trHeight w:val="27"/>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980" w:type="dxa"/>
            <w:vAlign w:val="bottom"/>
            <w:tcBorders>
              <w:bottom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2" w:lineRule="exact"/>
              <w:rPr>
                <w:sz w:val="20"/>
                <w:szCs w:val="20"/>
                <w:color w:val="auto"/>
              </w:rPr>
            </w:pPr>
            <w:r>
              <w:rPr>
                <w:rFonts w:ascii="Times New Roman" w:cs="Times New Roman" w:eastAsia="Times New Roman" w:hAnsi="Times New Roman"/>
                <w:sz w:val="18"/>
                <w:szCs w:val="18"/>
                <w:color w:val="auto"/>
              </w:rPr>
              <w:t>10.1</w:t>
            </w:r>
          </w:p>
        </w:tc>
        <w:tc>
          <w:tcPr>
            <w:tcW w:w="10100" w:type="dxa"/>
            <w:vAlign w:val="bottom"/>
            <w:tcBorders>
              <w:right w:val="single" w:sz="8" w:color="auto"/>
            </w:tcBorders>
            <w:gridSpan w:val="3"/>
          </w:tcPr>
          <w:p>
            <w:pPr>
              <w:ind w:left="20"/>
              <w:spacing w:after="0" w:line="182" w:lineRule="exact"/>
              <w:rPr>
                <w:sz w:val="20"/>
                <w:szCs w:val="20"/>
                <w:color w:val="auto"/>
              </w:rPr>
            </w:pPr>
            <w:r>
              <w:rPr>
                <w:rFonts w:ascii="Times New Roman" w:cs="Times New Roman" w:eastAsia="Times New Roman" w:hAnsi="Times New Roman"/>
                <w:sz w:val="18"/>
                <w:szCs w:val="18"/>
                <w:color w:val="0000FF"/>
              </w:rPr>
              <w:t>Amended and Restated 2019 Omnibus Incentive Plan of the Company, as amended</w:t>
            </w:r>
          </w:p>
        </w:tc>
      </w:tr>
      <w:tr>
        <w:trPr>
          <w:trHeight w:val="21"/>
        </w:trPr>
        <w:tc>
          <w:tcPr>
            <w:tcW w:w="1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980" w:type="dxa"/>
            <w:vAlign w:val="bottom"/>
            <w:tcBorders>
              <w:top w:val="single" w:sz="8" w:color="0000FF"/>
              <w:bottom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3"/>
        </w:trPr>
        <w:tc>
          <w:tcPr>
            <w:tcW w:w="1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104.1</w:t>
            </w:r>
          </w:p>
        </w:tc>
        <w:tc>
          <w:tcPr>
            <w:tcW w:w="10100" w:type="dxa"/>
            <w:vAlign w:val="bottom"/>
            <w:tcBorders>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00"/>
        </w:trPr>
        <w:tc>
          <w:tcPr>
            <w:tcW w:w="1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98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1" w:right="31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 June 05, 2026</w:t>
      </w:r>
      <w:r>
        <w:rPr>
          <w:sz w:val="20"/>
          <w:szCs w:val="20"/>
          <w:color w:val="auto"/>
        </w:rPr>
        <w:tab/>
      </w:r>
      <w:r>
        <w:rPr>
          <w:rFonts w:ascii="Times New Roman" w:cs="Times New Roman" w:eastAsia="Times New Roman" w:hAnsi="Times New Roman"/>
          <w:sz w:val="17"/>
          <w:szCs w:val="17"/>
          <w:color w:val="auto"/>
        </w:rPr>
        <w:t>OneSpan Inc.</w:t>
      </w:r>
    </w:p>
    <w:p>
      <w:pPr>
        <w:spacing w:after="0" w:line="29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Lara Mataac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Lara Mataac</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General Counsel</w:t>
      </w:r>
    </w:p>
    <w:p>
      <w:pPr>
        <w:sectPr>
          <w:pgSz w:w="11900" w:h="16838" w:orient="portrait"/>
          <w:cols w:equalWidth="0" w:num="1">
            <w:col w:w="11240"/>
          </w:cols>
          <w:pgMar w:left="320" w:top="125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ONESPAN INC.</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2019 OMNIBUS INCENTIVE PLAN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 INTRODUCTION</w:t>
      </w:r>
    </w:p>
    <w:p>
      <w:pPr>
        <w:spacing w:after="0" w:line="266"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b w:val="1"/>
          <w:bCs w:val="1"/>
          <w:u w:val="single" w:color="auto"/>
          <w:color w:val="auto"/>
        </w:rPr>
        <w:t>Purposes.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purposes of the OneSpan Inc. 2019 Omnibus Incentive Plan (this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are (i) to align the interests of the Company’s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recipients of awards under this Plan by increasing the proprietary interest of such recipients in the Company’s growth and success, (ii) to advance the interests of the Company by attracting and retaining Non-Employee Directors, officers, other employees, consultants, independent contractors and agents and (iii) to motivate such persons to act in the long term best interests of the Company and its stockholders.</w:t>
      </w:r>
    </w:p>
    <w:p>
      <w:pPr>
        <w:spacing w:after="0" w:line="18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u w:val="single" w:color="auto"/>
          <w:color w:val="auto"/>
        </w:rPr>
        <w:t>Certain Definitions</w:t>
      </w:r>
      <w:r>
        <w:rPr>
          <w:rFonts w:ascii="Times New Roman" w:cs="Times New Roman" w:eastAsia="Times New Roman" w:hAnsi="Times New Roman"/>
          <w:sz w:val="17"/>
          <w:szCs w:val="17"/>
          <w:b w:val="1"/>
          <w:bCs w:val="1"/>
          <w:color w:val="auto"/>
        </w:rPr>
        <w:t>.</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written or electronic agreement evidencing an award hereunder between the Company and the recipient of such</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award.</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Board of Directors of the Company.</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Change in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5.8(b)</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Internal Revenue Code of 1986, as amended.</w:t>
      </w:r>
    </w:p>
    <w:p>
      <w:pPr>
        <w:spacing w:after="0" w:line="266" w:lineRule="exact"/>
        <w:rPr>
          <w:sz w:val="20"/>
          <w:szCs w:val="20"/>
          <w:color w:val="auto"/>
        </w:rPr>
      </w:pPr>
    </w:p>
    <w:p>
      <w:pPr>
        <w:jc w:val="both"/>
        <w:ind w:firstLine="648"/>
        <w:spacing w:after="0" w:line="304"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Compensation Committee of the Board, or a subcommittee thereof, or such other committee designated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in each case, consisting of two or more members of the Board, each of whom is intended to be (i) a “Non-Employee Director” within the meaning of Rule 16b-3 under the Exchange Act and (ii) “independent” within the meaning of the rules of the Nasdaq Capital Market or, if the Common Stock is not listed on the Nasdaq Capital Market, within the meaning of the rules of the principal stock exchange on which the Common Stock is then traded.</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common stock, par value $0.001 per share, of the Company, and all rights appurtenant thereto.</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OneSpan Inc., a corporation organized under the laws of the State of Delaware, or any successor thereto.</w:t>
      </w:r>
    </w:p>
    <w:p>
      <w:pPr>
        <w:spacing w:after="0" w:line="252" w:lineRule="exact"/>
        <w:rPr>
          <w:sz w:val="20"/>
          <w:szCs w:val="20"/>
          <w:color w:val="auto"/>
        </w:rPr>
      </w:pPr>
    </w:p>
    <w:p>
      <w:pPr>
        <w:jc w:val="both"/>
        <w:ind w:firstLine="648"/>
        <w:spacing w:after="0" w:line="307"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Company 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consummation of (i) a reorganization, merger or consolidation of the Company, or (ii) the sale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disposition of all or substantially all of the assets of the Company and its direct and indirect subsidiaries taken as a whole to a Person or Persons who are not “related persons” as defined in Treasury Regulation § 1.409A-3(i)(5)(vii)(B); </w:t>
      </w:r>
      <w:r>
        <w:rPr>
          <w:rFonts w:ascii="Times New Roman" w:cs="Times New Roman" w:eastAsia="Times New Roman" w:hAnsi="Times New Roman"/>
          <w:sz w:val="18"/>
          <w:szCs w:val="18"/>
          <w:u w:val="single" w:color="auto"/>
          <w:color w:val="auto"/>
        </w:rPr>
        <w:t>except</w:t>
      </w:r>
      <w:r>
        <w:rPr>
          <w:rFonts w:ascii="Times New Roman" w:cs="Times New Roman" w:eastAsia="Times New Roman" w:hAnsi="Times New Roman"/>
          <w:sz w:val="18"/>
          <w:szCs w:val="18"/>
          <w:color w:val="auto"/>
        </w:rPr>
        <w:t xml:space="preserve"> in each case a transaction pursuant to which:</w:t>
      </w:r>
    </w:p>
    <w:p>
      <w:pPr>
        <w:spacing w:after="0" w:line="182" w:lineRule="exact"/>
        <w:rPr>
          <w:sz w:val="20"/>
          <w:szCs w:val="20"/>
          <w:color w:val="auto"/>
        </w:rPr>
      </w:pPr>
    </w:p>
    <w:p>
      <w:pPr>
        <w:jc w:val="both"/>
        <w:ind w:left="3580" w:hanging="320"/>
        <w:spacing w:after="0" w:line="289" w:lineRule="auto"/>
        <w:tabs>
          <w:tab w:leader="none" w:pos="363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substantially all of the individuals and entities who are the beneficial owners, respectively, of the Outstanding Common Stock and Outstanding Voting Securities immediately prior to such transaction will</w:t>
      </w:r>
    </w:p>
    <w:p>
      <w:pPr>
        <w:spacing w:after="0" w:line="1" w:lineRule="exact"/>
        <w:rPr>
          <w:rFonts w:ascii="Times New Roman" w:cs="Times New Roman" w:eastAsia="Times New Roman" w:hAnsi="Times New Roman"/>
          <w:sz w:val="18"/>
          <w:szCs w:val="18"/>
          <w:color w:val="auto"/>
        </w:rPr>
      </w:pPr>
    </w:p>
    <w:p>
      <w:pPr>
        <w:jc w:val="both"/>
        <w:ind w:left="358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beneficially own, directly or indirectly, 50% or more of, respectively, the outstanding shares of common stock, and the combined voting power of the outstanding voting securities entitled to vote generally in the</w:t>
      </w:r>
    </w:p>
    <w:p>
      <w:pPr>
        <w:spacing w:after="0" w:line="1" w:lineRule="exact"/>
        <w:rPr>
          <w:rFonts w:ascii="Times New Roman" w:cs="Times New Roman" w:eastAsia="Times New Roman" w:hAnsi="Times New Roman"/>
          <w:sz w:val="18"/>
          <w:szCs w:val="18"/>
          <w:color w:val="auto"/>
        </w:rPr>
      </w:pPr>
    </w:p>
    <w:p>
      <w:pPr>
        <w:jc w:val="both"/>
        <w:ind w:left="358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directors, as the case may be, of the entity resulting from such transaction (including, without limitation, an entity which as a result of such transaction owns the Company or all or substantially all of</w:t>
      </w:r>
    </w:p>
    <w:p>
      <w:pPr>
        <w:spacing w:after="0" w:line="1" w:lineRule="exact"/>
        <w:rPr>
          <w:rFonts w:ascii="Times New Roman" w:cs="Times New Roman" w:eastAsia="Times New Roman" w:hAnsi="Times New Roman"/>
          <w:sz w:val="18"/>
          <w:szCs w:val="18"/>
          <w:color w:val="auto"/>
        </w:rPr>
      </w:pPr>
    </w:p>
    <w:p>
      <w:pPr>
        <w:jc w:val="both"/>
        <w:ind w:left="358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assets, either directly or through one or more subsidiaries) in substantially the same proportions as their ownership, immediately prior to such transaction, of the Outstanding Common Stock and Outstanding Voting Securities, as the case may be; and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238" w:right="339" w:bottom="1440" w:gutter="0" w:footer="0" w:header="0"/>
        </w:sectPr>
      </w:pPr>
    </w:p>
    <w:bookmarkStart w:id="5" w:name="page6"/>
    <w:bookmarkEnd w:id="5"/>
    <w:p>
      <w:pPr>
        <w:ind w:left="3580" w:hanging="320"/>
        <w:spacing w:after="0"/>
        <w:tabs>
          <w:tab w:leader="none" w:pos="3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were members of the Board immediately prior to the approval by the stockholders of the</w:t>
      </w:r>
    </w:p>
    <w:p>
      <w:pPr>
        <w:spacing w:after="0" w:line="49" w:lineRule="exact"/>
        <w:rPr>
          <w:rFonts w:ascii="Times New Roman" w:cs="Times New Roman" w:eastAsia="Times New Roman" w:hAnsi="Times New Roman"/>
          <w:sz w:val="18"/>
          <w:szCs w:val="18"/>
          <w:color w:val="auto"/>
        </w:rPr>
      </w:pPr>
    </w:p>
    <w:p>
      <w:pPr>
        <w:ind w:left="3580" w:right="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of such transaction will constitute at least a majority of the members of the board of directors of the entity resulting from such transaction;</w:t>
      </w:r>
    </w:p>
    <w:p>
      <w:pPr>
        <w:spacing w:after="0" w:line="200" w:lineRule="exact"/>
        <w:rPr>
          <w:sz w:val="20"/>
          <w:szCs w:val="20"/>
          <w:color w:val="auto"/>
        </w:rPr>
      </w:pPr>
    </w:p>
    <w:p>
      <w:pPr>
        <w:spacing w:after="0" w:line="215" w:lineRule="exact"/>
        <w:rPr>
          <w:sz w:val="20"/>
          <w:szCs w:val="20"/>
          <w:color w:val="auto"/>
        </w:rPr>
      </w:pPr>
    </w:p>
    <w:p>
      <w:pPr>
        <w:jc w:val="both"/>
        <w:ind w:firstLine="648"/>
        <w:spacing w:after="0" w:line="333"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Convertible Security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any security convertible into or exchangeable for shares of Common Stock of the Company, or any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 or other right to acquire shares of Common Stock of the Company.</w:t>
      </w:r>
    </w:p>
    <w:p>
      <w:pPr>
        <w:spacing w:after="0" w:line="1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Securities Exchange Act of 1934, as amended.</w:t>
      </w:r>
    </w:p>
    <w:p>
      <w:pPr>
        <w:spacing w:after="0" w:line="266"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Fair Market Value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closing transaction price of a share of Common Stock as reported on the Nasdaq Capital Market on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as of which such value is being determined or, if the Common Stock is not listed on the Nasdaq Capital Market, the closing transaction price of a share of Common Stock on the principal national stock exchange on which the Common Stock is traded on the date as of which such value is being determined or, if there shall be no reported transactions for such date, on the next preceding date for which transactions were reported;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Common Stock is not listed on a national stock exchange or if Fair Market Value for any date cannot be so determined, Fair Market Value shall be determined by the Committee by whatever means or method as the Committee, in the good faith exercise of its discretion, shall at such time deem appropriate and in compliance with Section 409A of the Code.</w:t>
      </w:r>
    </w:p>
    <w:p>
      <w:pPr>
        <w:spacing w:after="0" w:line="177" w:lineRule="exact"/>
        <w:rPr>
          <w:sz w:val="20"/>
          <w:szCs w:val="20"/>
          <w:color w:val="auto"/>
        </w:rPr>
      </w:pPr>
    </w:p>
    <w:p>
      <w:pPr>
        <w:jc w:val="both"/>
        <w:ind w:firstLine="648"/>
        <w:spacing w:after="0" w:line="304"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Free-Standing SAR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an SAR which is not granted in tandem with, or by reference to, an option, which entitles the holder thereof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 upon exercise, shares of Common Stock (which may be Restricted Stock) or, to the extent set forth in the applicable Agreement, cash or a combination thereof, with an aggregate value equal to the excess of the Fair Market Value of one share of Common Stock on the date of exercise over the base price of such SAR, multiplied by the number of such SARs which are exercised.</w:t>
      </w:r>
    </w:p>
    <w:p>
      <w:pPr>
        <w:spacing w:after="0" w:line="180" w:lineRule="exact"/>
        <w:rPr>
          <w:sz w:val="20"/>
          <w:szCs w:val="20"/>
          <w:color w:val="auto"/>
        </w:rPr>
      </w:pPr>
    </w:p>
    <w:p>
      <w:pPr>
        <w:jc w:val="both"/>
        <w:ind w:right="20" w:firstLine="648"/>
        <w:spacing w:after="0" w:line="318"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Incentive Stock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an option to purchase shares of Common Stock that meets the requirements of Section 422 of the Code,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successor provision, which is intended by the Committee to constitute an Incentive Stock Option.</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Incumbent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5.8(b)(2)</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Non-Employee Director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any director of the Company who is not an officer or employee of the Company or any Subsidiary.</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Nonqualified Stock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an option to purchase shares of Common Stock which is not an Incentive Stock Option.</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Other Stock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an award granted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Plan.</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Outstanding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5.8(b)(1)</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Outstanding Voting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5.8(b)(1)</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jc w:val="both"/>
        <w:ind w:firstLine="648"/>
        <w:spacing w:after="0" w:line="318"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Performance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a right to receive an amount of cash, Common Stock, or a combination of both, contingent upon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attainment of specified Performance Measures within a specified Performance Period.</w:t>
      </w:r>
    </w:p>
    <w:p>
      <w:pPr>
        <w:spacing w:after="0" w:line="167"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Performance Measures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criteria and objectives, established by the Committee, which shall be satisfied or met (i) as a condition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grant or exercisability of all or a portion of an option or SAR or (ii) during the applicable Restriction Period or Performance Period as a condition to the vesting of the holder’s interest, in the case of a Restricted Stock Award, of the shares of Common Stock subject to such award, or, in the case of a Restricted Stock Unit Award, Other Stock Award or Performance Award, to the holder’s receipt of the shares of Common Stock subject to such award or of payment with respect to such award. One or more of the following business criteria for the Company, on a consolidated basis, and/or for specified subsidiaries, business or geographical units or operating areas of the Company (except with respect to the total shareholder return and earnings per share criteria) or individual basis, may be used by the Committee in establishing Performance Measures under this Plan: (i) earnings before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783" w:right="339" w:bottom="1440" w:gutter="0" w:footer="0" w:header="0"/>
        </w:sectPr>
      </w:pPr>
    </w:p>
    <w:bookmarkStart w:id="6" w:name="page7"/>
    <w:bookmarkEnd w:id="6"/>
    <w:p>
      <w:pPr>
        <w:jc w:val="both"/>
        <w:spacing w:after="0" w:line="291" w:lineRule="auto"/>
        <w:rPr>
          <w:sz w:val="20"/>
          <w:szCs w:val="20"/>
          <w:color w:val="auto"/>
        </w:rPr>
      </w:pPr>
      <w:r>
        <w:rPr>
          <w:rFonts w:ascii="Times New Roman" w:cs="Times New Roman" w:eastAsia="Times New Roman" w:hAnsi="Times New Roman"/>
          <w:sz w:val="18"/>
          <w:szCs w:val="18"/>
          <w:color w:val="auto"/>
        </w:rPr>
        <w:t>any or all of interest, tax, depreciation or amortization (actual or adjusted and either in the aggregate or on a per-share of Common Stock basis); (ii) earnings (either in the aggregate or on a per-share of Common Stock basis); (iii) net income or loss (either in the aggregate or on a per-share of Common Stock basis); (iv) operating profit; (v) cash flow (either in the aggregate or on a per-share of Common Stock basis); (vi) free cash flow (either in the aggregate on a per-share of Common Stock basis); (vii) costs; (viii) gross revenues; (ix) reductions in expense levels; (x) operating and maintenance cost management and employee productivity; (xi) stock price or total shareholder return (including growth measures and total stockholder return or attainment by the shares of Common Stock of a specified value for a specified period of time); (xii) net economic value; (xiii) economic value added; (xiv) aggregate product unit and pricing targets; (xv) strategic business criteria, consisting of one or more objectives based on meeting specified revenue, market share, market penetration, geographic business expansion goals, objectively identified project milestones, production volume levels, cost targets, and goals relating to acquisitions or divestitures; (xvi) achievement of return on net assets, return on assets, return on investment capital, or return on equity; (xvii) achievement of objectives relating to diversity, employee turnover, or employee retention rates; (xviii) results of customer satisfaction surveys; (xix) debt ratings, debt leverage and debt service; or (xx) such other goals as the Committee may determine whether or not listed herein. Each such goal may be determined on a pre-tax or post-tax basis or on an absolute or relative basis, and may include comparisons based on current internal targets, the past performance of the Company (including the performance of one or more subsidiaries, divisions, or operating units) or the past or current performance of other companies or market indices (or a combination of such past and current performance). In addition to the ratios specifically enumerated above, performance goals may include comparisons relating to capital (including, but not limited to, the cost of capital), shareholders’ equity, shares outstanding, assets or net assets, sales, or any combination thereof. In establishing a Performance Measure or determining the achievement of a Performance Measure, the Committee may provide that achievement of the applicable Performance Measures may be amended or adjusted to include or exclude components of any Performance Measure, including, without limitation, foreign exchange gains and losses, asset write-downs, acquisitions and divestitures, change in fiscal year, unbudgeted capital expenditures, special charges such as restructuring or impairment charges, debt refinancing costs, extraordinary or noncash items, unusual, infrequently occurring, nonrecurring or one-time events affecting the Company or its financial statements or changes in law or accounting principles. Performance Measures shall be subject to such other special rules and conditions as the Committee may establish at any time.</w:t>
      </w:r>
    </w:p>
    <w:p>
      <w:pPr>
        <w:spacing w:after="0" w:line="193" w:lineRule="exact"/>
        <w:rPr>
          <w:sz w:val="20"/>
          <w:szCs w:val="20"/>
          <w:color w:val="auto"/>
        </w:rPr>
      </w:pPr>
    </w:p>
    <w:p>
      <w:pPr>
        <w:jc w:val="both"/>
        <w:ind w:right="20" w:firstLine="648"/>
        <w:spacing w:after="0" w:line="333"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Performance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any period designated by the Committee during which (i) the Performance Measures applicable to an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measured and (ii) the conditions to vesting applicable to an award shall remain in effect.</w:t>
      </w:r>
    </w:p>
    <w:p>
      <w:pPr>
        <w:spacing w:after="0" w:line="1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5.8(b)(1)</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jc w:val="both"/>
        <w:ind w:firstLine="648"/>
        <w:spacing w:after="0" w:line="318"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Prior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VASCO Data Security International, Inc. 2009 Equity Incentive Plan and each other equity plan maintained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under which awards are outstanding as of the effective date of this Plan.</w:t>
      </w:r>
    </w:p>
    <w:p>
      <w:pPr>
        <w:spacing w:after="0" w:line="167" w:lineRule="exact"/>
        <w:rPr>
          <w:sz w:val="20"/>
          <w:szCs w:val="20"/>
          <w:color w:val="auto"/>
        </w:rPr>
      </w:pPr>
    </w:p>
    <w:p>
      <w:pPr>
        <w:jc w:val="both"/>
        <w:ind w:firstLine="648"/>
        <w:spacing w:after="0" w:line="318"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Restricted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shares of Common Stock which are subject to a Restriction Period and which may, in addition thereto, be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attainment of specified Performance Measures within a specified Performance Period.</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Restricted Stock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an award of Restricted Stock under this Plan.</w:t>
      </w:r>
    </w:p>
    <w:p>
      <w:pPr>
        <w:spacing w:after="0" w:line="252" w:lineRule="exact"/>
        <w:rPr>
          <w:sz w:val="20"/>
          <w:szCs w:val="20"/>
          <w:color w:val="auto"/>
        </w:rPr>
      </w:pPr>
    </w:p>
    <w:p>
      <w:pPr>
        <w:jc w:val="both"/>
        <w:ind w:firstLine="648"/>
        <w:spacing w:after="0" w:line="307"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Restricted Stock Unit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a right to receive one share of Common Stock or, in lieu thereof and to the extent set forth in the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Fair Market Value of such share of Common Stock in cash, which shall be contingent upon the expiration of a specified Restriction Period and which may, in addition thereto, be contingent upon the attainment of specified Performance Measures within a specified Performance Period.</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Restricted Stock Unit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an award of Restricted Stock Units under this Plan.</w:t>
      </w:r>
    </w:p>
    <w:p>
      <w:pPr>
        <w:spacing w:after="0" w:line="266" w:lineRule="exact"/>
        <w:rPr>
          <w:sz w:val="20"/>
          <w:szCs w:val="20"/>
          <w:color w:val="auto"/>
        </w:rPr>
      </w:pPr>
    </w:p>
    <w:p>
      <w:pPr>
        <w:jc w:val="both"/>
        <w:ind w:firstLine="648"/>
        <w:spacing w:after="0" w:line="307"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Restriction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any period designated by the Committee during which (i) the Common Stock subject to a Restricted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may not be sold, transferred, assigned, pledged, hypothecated or otherwise encumbered or disposed of, except as provided in this Plan or the Agreement relating to such award, or (ii) the conditions to vesting applicable to a Restricted Stock Unit Award or Other Stock Award shall remain in effect.</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a stock appreciation right which may be a Free Standing SAR or a Tandem SAR.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783" w:right="339" w:bottom="1440" w:gutter="0" w:footer="0" w:header="0"/>
        </w:sectPr>
      </w:pPr>
    </w:p>
    <w:bookmarkStart w:id="7" w:name="page8"/>
    <w:bookmarkEnd w:id="7"/>
    <w:p>
      <w:pPr>
        <w:ind w:left="6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Stock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a Restricted Stock Award, Restricted Stock Unit Award or Other Stock Award.</w:t>
      </w:r>
    </w:p>
    <w:p>
      <w:pPr>
        <w:spacing w:after="0" w:line="266" w:lineRule="exact"/>
        <w:rPr>
          <w:sz w:val="20"/>
          <w:szCs w:val="20"/>
          <w:color w:val="auto"/>
        </w:rPr>
      </w:pPr>
    </w:p>
    <w:p>
      <w:pPr>
        <w:jc w:val="both"/>
        <w:ind w:right="20" w:firstLine="648"/>
        <w:spacing w:after="0" w:line="318"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Subsidiary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any corporation, limited liability company, partnership, joint venture or similar entity in which the Company owns,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directly or indirectly, an equity interest possessing more than 50% of the combined voting power of the total outstanding equity interests of such entity.</w:t>
      </w:r>
    </w:p>
    <w:p>
      <w:pPr>
        <w:spacing w:after="0" w:line="167" w:lineRule="exact"/>
        <w:rPr>
          <w:sz w:val="20"/>
          <w:szCs w:val="20"/>
          <w:color w:val="auto"/>
        </w:rPr>
      </w:pPr>
    </w:p>
    <w:p>
      <w:pPr>
        <w:jc w:val="both"/>
        <w:ind w:firstLine="648"/>
        <w:spacing w:after="0" w:line="299"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Substitute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an award granted under this Plan upon the assumption of, or in substitution for, outstanding equity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previously granted by a company or other entity in connection with a corporate transaction, including a merger, combination, consolidation or acquisition of property or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the term “Substitute Award” be construed to refer to an award made in connection with the cancellation and repricing of an option or SAR.</w:t>
      </w:r>
    </w:p>
    <w:p>
      <w:pPr>
        <w:spacing w:after="0" w:line="184"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Tandem SAR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an SAR which is granted in tandem with, or by reference to, an option (including a Nonqualified Stock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prior to the date of grant of the SAR), which entitles the holder thereof to receive, upon exercise of such SAR and surrender for cancellation of all or a portion of such option, shares of Common Stock (which may be Restricted Stock) or, to the extent set forth in the applicable Agreement, cash or a combination thereof, with an aggregate value equal to the excess of the Fair Market Value of one share of Common Stock on the date of exercise over the base price of such SAR, multiplied by the number of shares of Common Stock subject to such option, or portion thereof, which is surrendered.</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Tax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Ten Percent 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b w:val="1"/>
          <w:bCs w:val="1"/>
          <w:color w:val="auto"/>
        </w:rPr>
        <w:t xml:space="preserve">1.3 </w:t>
      </w:r>
      <w:r>
        <w:rPr>
          <w:rFonts w:ascii="Times New Roman" w:cs="Times New Roman" w:eastAsia="Times New Roman" w:hAnsi="Times New Roman"/>
          <w:sz w:val="18"/>
          <w:szCs w:val="18"/>
          <w:b w:val="1"/>
          <w:bCs w:val="1"/>
          <w:u w:val="single" w:color="auto"/>
          <w:color w:val="auto"/>
        </w:rPr>
        <w:t>Administration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Plan shall be administered by the Committee. Any one or a combination of the following awards may be made under this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eligible persons: (i) options to purchase shares of Common Stock in the form of Incentive Stock Options or Nonqualified Stock Options; (ii) SARs in the form of Tandem SARs or Free Standing SARs; (iii) Stock Awards in the form of Restricted Stock, Restricted Stock Units or Other Stock Awards; and (iv) Performance Awards. The Committee shall, subject to the terms of this Plan, select eligible persons for participation in this Plan and determine the form, amount and timing of each award to such persons and, if applicable, the number of shares of Common Stock subject to an award, the number of SARs, the number of Restricted Stock Units, the dollar value subject to a Performance Award, the purchase price or base price associated with the award, the time and conditions of exercise or settlement of the award and all other terms and conditions of the award, including, without limitation, the form of the Agreement evidencing the award. The Committee may, in its sole discretion and for any reason at any time, take action such that (i) any or all outstanding options and SARs shall become exercisable in part or in full, (ii) all or a portion of the Restriction Period applicable to any outstanding awards shall lapse, (iii) all or a portion of the Performance Period applicable to any outstanding awards shall lapse and (iv) the Performance Measures (if any) applicable to any outstanding awards shall be deemed to be satisfied at the target, maximum or any other level. The Committee shall, subject to the terms of this Plan, interpret this Plan and the application thereof, establish rules and regulations it deems necessary or desirable for the administration of this Plan and may impose, incidental to the grant of an award, conditions with respect to the award, such as limiting competitive employment or other activities. All such interpretations, rules, regulations and conditions shall be conclusive and binding on all parties.</w:t>
      </w:r>
    </w:p>
    <w:p>
      <w:pPr>
        <w:spacing w:after="0" w:line="204"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 xml:space="preserve">The Committee may delegate some or all of its power and authority hereunder to the Board (or any members thereof) or, subject to applicable law, to a subcommittee of the Board, a member of the Board, the Chief Executive Officer or other executive officer of the Company as the Committee deems appropriate;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Committee may not delegate its power and authority to a member of the Board, the Chief Executive Officer or other executive officer of the Company with regard to the selection for participation in this Plan of an officer, director or other person subject to Section 16 of the Exchange Act or decisions concerning the timing, pricing or amount of an award to such an officer, director or other person.</w:t>
      </w:r>
    </w:p>
    <w:p>
      <w:pPr>
        <w:spacing w:after="0" w:line="191"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No member of the Board or Committee, and neither the Chief Executive Officer nor any other executive officer to whom the Committee delegates any of its power and authority hereunder, shall be liable for any act, omission, interpretation, construction or determination made in connection with this</w:t>
      </w:r>
    </w:p>
    <w:p>
      <w:pPr>
        <w:spacing w:after="0" w:line="27"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Plan in good faith, and the members of the Board and the Committee and the Chief Executive Officer or other executive officer shall be entitled to indemnification and reimbursement by the Company in respect of any claim, loss, damage or expense (including attorneys’ fees) arising therefrom to the full extent permitted by law (except as otherwise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779" w:right="339" w:bottom="1440" w:gutter="0" w:footer="0" w:header="0"/>
        </w:sectPr>
      </w:pPr>
    </w:p>
    <w:bookmarkStart w:id="8" w:name="page9"/>
    <w:bookmarkEnd w:id="8"/>
    <w:p>
      <w:pPr>
        <w:jc w:val="both"/>
        <w:spacing w:after="0" w:line="329" w:lineRule="auto"/>
        <w:rPr>
          <w:sz w:val="20"/>
          <w:szCs w:val="20"/>
          <w:color w:val="auto"/>
        </w:rPr>
      </w:pPr>
      <w:r>
        <w:rPr>
          <w:rFonts w:ascii="Times New Roman" w:cs="Times New Roman" w:eastAsia="Times New Roman" w:hAnsi="Times New Roman"/>
          <w:sz w:val="18"/>
          <w:szCs w:val="18"/>
          <w:color w:val="auto"/>
        </w:rPr>
        <w:t>may be provided in the Company’s Certificate of Incorporation and/or By-laws) and under any directors’ and officers’ liability insurance that may be in effect from time to time.</w:t>
      </w:r>
    </w:p>
    <w:p>
      <w:pPr>
        <w:spacing w:after="0" w:line="14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b w:val="1"/>
          <w:bCs w:val="1"/>
          <w:color w:val="auto"/>
        </w:rPr>
        <w:t xml:space="preserve">1.4 </w:t>
      </w:r>
      <w:r>
        <w:rPr>
          <w:rFonts w:ascii="Times New Roman" w:cs="Times New Roman" w:eastAsia="Times New Roman" w:hAnsi="Times New Roman"/>
          <w:sz w:val="18"/>
          <w:szCs w:val="18"/>
          <w:b w:val="1"/>
          <w:bCs w:val="1"/>
          <w:u w:val="single" w:color="auto"/>
          <w:color w:val="auto"/>
        </w:rPr>
        <w:t>Eligibility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Participants in this Plan shall consist of such officers, other employees, Non-Employee Directors, consultants, independent contractors,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agents, and persons expected to become officers, other employees, Non-Employee Directors, consultants, independent contractors and agents of the Company and its Subsidiaries as the Committee in its sole discretion may select from time to time. The Committee’s selection of a person to participate in this Plan at any time shall not require the Committee to select such person to participate in this Plan at any other time. Except as otherwise provided for in an Agreement, for purposes of this Plan, references to employment by the Company shall also mean employment by a Subsidiary, and references to employment shall include service as a Non-Employee Director, consultant, independent contractor or agent. The Committee shall determine, in its sole discretion, the extent to which a participant shall be considered employed during an approved leave of absence. The aggregate value of cash compensation and the grant date fair value of shares of Common Stock that may be awarded or granted during any fiscal year of the Company to any Non-Employee Director shall not exceed $400,000.</w:t>
      </w:r>
    </w:p>
    <w:p>
      <w:pPr>
        <w:spacing w:after="0" w:line="18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8"/>
          <w:szCs w:val="18"/>
          <w:b w:val="1"/>
          <w:bCs w:val="1"/>
          <w:color w:val="auto"/>
        </w:rPr>
        <w:t xml:space="preserve">1.5 </w:t>
      </w:r>
      <w:r>
        <w:rPr>
          <w:rFonts w:ascii="Times New Roman" w:cs="Times New Roman" w:eastAsia="Times New Roman" w:hAnsi="Times New Roman"/>
          <w:sz w:val="18"/>
          <w:szCs w:val="18"/>
          <w:b w:val="1"/>
          <w:bCs w:val="1"/>
          <w:u w:val="single" w:color="auto"/>
          <w:color w:val="auto"/>
        </w:rPr>
        <w:t>Shares Available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adjustment as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to all other limits set forth in this Plan, 8,500,000 shares of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shall be available for all awards under this Plan, other than Substitute Awards. Subject to adjustment as provided in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no more than 8,500,000 shares of Common Stock in the aggregate may be issued under the Plan in connection with Incentive Stock Options. To the extent the Company grants an option, a Free-Standing SAR, a Stock Award or settles a Performance Award in shares of Common Stock, the number of shares of Common Stock that remain available for future grants under the Plan shall be reduced by an amount equal to the number of shares subject to such option, Free-Standing SAR, Stock Award or Performance Award.</w:t>
      </w:r>
    </w:p>
    <w:p>
      <w:pPr>
        <w:spacing w:after="0" w:line="176"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18"/>
          <w:szCs w:val="18"/>
          <w:color w:val="auto"/>
        </w:rPr>
        <w:t xml:space="preserve">To the extent that shares of Common Stock subject to an outstanding option, SAR, Stock Award or Performance Award granted under the Plan or a Prior Plan, other than Substitute Awards, are not issued or delivered by reason of (i) the expiration, termination, cancellation or forfeiture of such award (excluding shares subject to an option cancelled upon settlement in shares of a related Tandem SAR or shares subject to a Tandem SAR cancelled upon exercise of a related option) or (ii) the settlement of such award in cash, then such shares of Common Stock shall again be available under this Plan;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shares of Common Stock subject to an award under this Plan or a Prior Plan shall not again be available for issuance under this Plan if such shares are (x) shares that were subject to an option or stock-settled SAR and were not issued or delivered upon the net settlement or net exercise of such option or SAR, (y) shares delivered to or withheld by the Company to pay the purchase price or the withholding taxes related to an outstanding award or (z) shares repurchased by the Company on the open market with the proceeds of an option exercise.</w:t>
      </w:r>
    </w:p>
    <w:p>
      <w:pPr>
        <w:spacing w:after="0" w:line="179"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The number of shares of Common Stock available for awards under this Plan shall not be reduced by (i) the number of shares of Common Stock subject to Substitute Awards or (ii) available shares under a stockholder approved plan of a company or other entity which was a party to a corporate transaction with the Company (as appropriately adjusted to reflect such corporate transaction) which become subject to awards granted under this Plan (subject to applicable stock exchange requirements).</w:t>
      </w:r>
    </w:p>
    <w:p>
      <w:pPr>
        <w:spacing w:after="0" w:line="173"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auto"/>
        </w:rPr>
        <w:t>Shares of Common Stock to be delivered under this Plan shall be made available from authorized and unissued shares of Common Stock, or authorized and issued shares of Common Stock reacquired and held as treasury shares or otherwise or a combination thereof.</w:t>
      </w:r>
    </w:p>
    <w:p>
      <w:pPr>
        <w:spacing w:after="0" w:line="144"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1.6 </w:t>
      </w:r>
      <w:r>
        <w:rPr>
          <w:rFonts w:ascii="Times New Roman" w:cs="Times New Roman" w:eastAsia="Times New Roman" w:hAnsi="Times New Roman"/>
          <w:sz w:val="18"/>
          <w:szCs w:val="18"/>
          <w:b w:val="1"/>
          <w:bCs w:val="1"/>
          <w:u w:val="single" w:color="auto"/>
          <w:color w:val="auto"/>
        </w:rPr>
        <w:t>Minimum Vesting Requirements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award (or any portion of any award) granted under the Plan shall become exercisable or vested prior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one-year anniversary of the date of grant; provided, however, that, such restriction shall not apply to awards granted under this Plan with respect to the number of shares of Common Stock which, in the aggregate, does not exceed five percent (5%) of the total number of shares available for awards under this Plan as set forth in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shall not restrict the right of the Committee to accelerate or continue the vesting or exercisability of an award upon or after a Change in Control or termination of employment or otherwise pursuant to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of the Plan.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II. STOCK OPTIONS AND STOCK APPRECIATION RIGHTS</w:t>
      </w:r>
    </w:p>
    <w:p>
      <w:pPr>
        <w:spacing w:after="0" w:line="266" w:lineRule="exact"/>
        <w:rPr>
          <w:sz w:val="20"/>
          <w:szCs w:val="20"/>
          <w:color w:val="auto"/>
        </w:rPr>
      </w:pPr>
    </w:p>
    <w:p>
      <w:pPr>
        <w:jc w:val="both"/>
        <w:ind w:right="20"/>
        <w:spacing w:after="0" w:line="318" w:lineRule="auto"/>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b w:val="1"/>
          <w:bCs w:val="1"/>
          <w:u w:val="single" w:color="auto"/>
          <w:color w:val="auto"/>
        </w:rPr>
        <w:t>Stock Options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Committee may, in its discretion, grant options to purchase shares of Common Stock to such eligible persons as may be selected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Committee. Each option, or portion thereof, that is not an Incentive Stock Option, shall be 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783" w:right="339" w:bottom="1440" w:gutter="0" w:footer="0" w:header="0"/>
        </w:sectPr>
      </w:pPr>
    </w:p>
    <w:bookmarkStart w:id="9" w:name="page10"/>
    <w:bookmarkEnd w:id="9"/>
    <w:p>
      <w:pPr>
        <w:jc w:val="both"/>
        <w:spacing w:after="0" w:line="302" w:lineRule="auto"/>
        <w:rPr>
          <w:sz w:val="20"/>
          <w:szCs w:val="20"/>
          <w:color w:val="auto"/>
        </w:rPr>
      </w:pPr>
      <w:r>
        <w:rPr>
          <w:rFonts w:ascii="Times New Roman" w:cs="Times New Roman" w:eastAsia="Times New Roman" w:hAnsi="Times New Roman"/>
          <w:sz w:val="18"/>
          <w:szCs w:val="18"/>
          <w:color w:val="auto"/>
        </w:rPr>
        <w:t>Nonqualified Stock Option. To the extent that the aggregate Fair Market Value (determined as of the date of grant) of shares of Common Stock with respect to which options designated as Incentive Stock Options are exercisable for the first time by a participant during any calendar year (under this Plan or any other plan of the Company, or any parent or Subsidiary) exceeds the amount (currently $100,000) established by the Code, such options shall constitute Nonqualified Stock Options.</w:t>
      </w:r>
    </w:p>
    <w:p>
      <w:pPr>
        <w:spacing w:after="0" w:line="173"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auto"/>
        </w:rPr>
        <w:t>Options shall be subject to the following terms and conditions and shall contain such additional terms and conditions, not inconsistent with the terms of this Plan, as the Committee shall deem advisable:</w:t>
      </w:r>
    </w:p>
    <w:p>
      <w:pPr>
        <w:spacing w:after="0" w:line="148"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u w:val="single" w:color="auto"/>
          <w:color w:val="auto"/>
        </w:rPr>
        <w:t>Number of Shares and Purchase Price</w:t>
      </w:r>
      <w:r>
        <w:rPr>
          <w:rFonts w:ascii="Times New Roman" w:cs="Times New Roman" w:eastAsia="Times New Roman" w:hAnsi="Times New Roman"/>
          <w:sz w:val="18"/>
          <w:szCs w:val="18"/>
          <w:color w:val="auto"/>
        </w:rPr>
        <w:t xml:space="preserve">. The number of shares of Common Stock subject to an option and the purchase price per share of Common Stock purchasable upon exercise of the option shall be determined by the Committee;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purchase price per share of Common Stock purchasable upon exercise of an option shall not be less than 100% of the Fair Market Value of a share of Common Stock on the date of grant of such option;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if an Incentive Stock Option shall be granted to any person who, at the time such option is granted, owns capital stock possessing more than 10 percent of the total combined voting power of all classes of capital stock of the Company (or of any parent or Subsidiary) (a “</w:t>
      </w:r>
      <w:r>
        <w:rPr>
          <w:rFonts w:ascii="Times New Roman" w:cs="Times New Roman" w:eastAsia="Times New Roman" w:hAnsi="Times New Roman"/>
          <w:sz w:val="18"/>
          <w:szCs w:val="18"/>
          <w:u w:val="single" w:color="auto"/>
          <w:color w:val="auto"/>
        </w:rPr>
        <w:t>Ten Percent Holder</w:t>
      </w:r>
      <w:r>
        <w:rPr>
          <w:rFonts w:ascii="Times New Roman" w:cs="Times New Roman" w:eastAsia="Times New Roman" w:hAnsi="Times New Roman"/>
          <w:sz w:val="18"/>
          <w:szCs w:val="18"/>
          <w:color w:val="auto"/>
        </w:rPr>
        <w:t>”), the purchase price per share of Common Stock shall not be less than the price (currently 110% of Fair Market Value) required by the Code in order to constitute an Incentive Stock Option.</w:t>
      </w:r>
    </w:p>
    <w:p>
      <w:pPr>
        <w:spacing w:after="0" w:line="19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Notwithstanding the foregoing, in the case of an option that is a Substitute Award, the purchase price per share of the shares subject to such option may be less than 100% of the Fair Market Value per share on the date of grant, provided, that the excess of: (a) the aggregate Fair Market Value (as of the date such Substitute Award is granted) of the shares subject to the Substitute Award, over (b) the aggregate purchase price thereof does not exceed the excess of: (x) the aggregate fair market value (as of the time immediately preceding the transaction giving rise to the Substitute Award, such fair market value to be determined by the Committee) of the shares of the predecessor company or other entity that were subject to the grant assumed or substituted for by the Company, over (y) the aggregate purchase price of such shares.</w:t>
      </w:r>
    </w:p>
    <w:p>
      <w:pPr>
        <w:spacing w:after="0" w:line="178"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u w:val="single" w:color="auto"/>
          <w:color w:val="auto"/>
        </w:rPr>
        <w:t>Option Period and Exercisability</w:t>
      </w:r>
      <w:r>
        <w:rPr>
          <w:rFonts w:ascii="Times New Roman" w:cs="Times New Roman" w:eastAsia="Times New Roman" w:hAnsi="Times New Roman"/>
          <w:sz w:val="18"/>
          <w:szCs w:val="18"/>
          <w:color w:val="auto"/>
        </w:rPr>
        <w:t xml:space="preserve">. The period during which an option may be exercised shall be determined by the Committee;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option shall be exercised later than ten years after its date of grant;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if an Incentive Stock Option shall be granted to a Ten Percent Holder, such option shall not be exercised later than five years after its date of grant. The Committee may, in its discretion, establish Performance Measures which shall be satisfied or met as a condition to the grant of an option or to the exercisability of all or a portion of an option. The Committee shall determine whether an option shall become exercisable in cumulative or non-cumulative installments and in part or in full at any time. An exercisable option, or portion thereof, may be exercised only with respect to whole shares of Common Stock.</w:t>
      </w:r>
    </w:p>
    <w:p>
      <w:pPr>
        <w:spacing w:after="0" w:line="178"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An option may be exercised (i) by giving written notice to the Company specifying the number of whole shares of Common Stock to be purchased and accompanying such notice with payment therefor in full (or arrangement made for such payment to the Company’s satisfaction) either (A) in cash, (B) by delivery (either actual delivery or by attestation procedures established by the Company) of shares of Common Stock having a Fair Market Value, determined as of the date of exercise, equal to the aggregate purchase price payable by reason of such exercise, (C) authorizing the Company to withhold whole shares of Common Stock which would otherwise be delivered having an aggregate Fair Market Value, determined as of the date of exercise, equal to the amount necessary to satisfy such obligation, (D) in cash by a broker-dealer acceptable to the Company to whom the participant has submitted an irrevocable notice of exercise or (E) a combination of (A), (B) and (C), in each case to the extent set forth in the Agreement relating to the option, (ii) if applicable, by surrendering to the Company any Tandem SARs which are cancelled by reason of the exercise of the option and</w:t>
      </w:r>
    </w:p>
    <w:p>
      <w:pPr>
        <w:spacing w:after="0" w:line="4" w:lineRule="exact"/>
        <w:rPr>
          <w:sz w:val="20"/>
          <w:szCs w:val="20"/>
          <w:color w:val="auto"/>
        </w:rPr>
      </w:pPr>
    </w:p>
    <w:p>
      <w:pPr>
        <w:jc w:val="both"/>
        <w:ind w:firstLine="8"/>
        <w:spacing w:after="0" w:line="289" w:lineRule="auto"/>
        <w:tabs>
          <w:tab w:leader="none" w:pos="32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executing such documents as the Company may reasonably request. Any fraction of a share of Common Stock which would be required to pay such purchase price shall be disregarded and the remaining amount due shall be paid in cash by the participant. No shares of Common Stock shall be</w:t>
      </w:r>
    </w:p>
    <w:p>
      <w:pPr>
        <w:spacing w:after="0" w:line="1" w:lineRule="exact"/>
        <w:rPr>
          <w:rFonts w:ascii="Times New Roman" w:cs="Times New Roman" w:eastAsia="Times New Roman" w:hAnsi="Times New Roman"/>
          <w:sz w:val="18"/>
          <w:szCs w:val="18"/>
          <w:color w:val="auto"/>
        </w:rPr>
      </w:pPr>
    </w:p>
    <w:p>
      <w:pPr>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issued and no certificate representing Common Stock shall be delivered until the full purchase price therefor and any withholding taxes thereon, as described in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have been paid (or arrangement made for such payment to the Company’s satisfaction).</w:t>
      </w:r>
    </w:p>
    <w:p>
      <w:pPr>
        <w:spacing w:after="0" w:line="172" w:lineRule="exact"/>
        <w:rPr>
          <w:sz w:val="20"/>
          <w:szCs w:val="20"/>
          <w:color w:val="auto"/>
        </w:rPr>
      </w:pPr>
    </w:p>
    <w:p>
      <w:pPr>
        <w:spacing w:after="0" w:line="318" w:lineRule="auto"/>
        <w:rPr>
          <w:sz w:val="20"/>
          <w:szCs w:val="20"/>
          <w:color w:val="auto"/>
        </w:rPr>
      </w:pPr>
      <w:r>
        <w:rPr>
          <w:rFonts w:ascii="Times New Roman" w:cs="Times New Roman" w:eastAsia="Times New Roman" w:hAnsi="Times New Roman"/>
          <w:sz w:val="18"/>
          <w:szCs w:val="18"/>
          <w:b w:val="1"/>
          <w:bCs w:val="1"/>
          <w:color w:val="auto"/>
        </w:rPr>
        <w:t xml:space="preserve">2.2 </w:t>
      </w:r>
      <w:r>
        <w:rPr>
          <w:rFonts w:ascii="Times New Roman" w:cs="Times New Roman" w:eastAsia="Times New Roman" w:hAnsi="Times New Roman"/>
          <w:sz w:val="18"/>
          <w:szCs w:val="18"/>
          <w:b w:val="1"/>
          <w:bCs w:val="1"/>
          <w:u w:val="single" w:color="auto"/>
          <w:color w:val="auto"/>
        </w:rPr>
        <w:t>Stock Appreciation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Committee may, in its discretion, grant SARs to such eligible persons as may be selected by the Committee.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relating to an SAR shall specify whether the SAR is a Tandem SAR or a Free-Standing SAR.</w:t>
      </w:r>
    </w:p>
    <w:p>
      <w:pPr>
        <w:spacing w:after="0" w:line="171" w:lineRule="exact"/>
        <w:rPr>
          <w:sz w:val="20"/>
          <w:szCs w:val="20"/>
          <w:color w:val="auto"/>
        </w:rPr>
      </w:pPr>
    </w:p>
    <w:p>
      <w:pPr>
        <w:ind w:right="20" w:firstLine="648"/>
        <w:spacing w:after="0" w:line="313" w:lineRule="auto"/>
        <w:rPr>
          <w:sz w:val="20"/>
          <w:szCs w:val="20"/>
          <w:color w:val="auto"/>
        </w:rPr>
      </w:pPr>
      <w:r>
        <w:rPr>
          <w:rFonts w:ascii="Times New Roman" w:cs="Times New Roman" w:eastAsia="Times New Roman" w:hAnsi="Times New Roman"/>
          <w:sz w:val="18"/>
          <w:szCs w:val="18"/>
          <w:color w:val="auto"/>
        </w:rPr>
        <w:t>SARs shall be subject to the following terms and conditions and shall contain such additional terms and conditions, not inconsistent with the terms of this Plan, as the Committee shall deem advisable: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783" w:right="339" w:bottom="1440" w:gutter="0" w:footer="0" w:header="0"/>
        </w:sectPr>
      </w:pPr>
    </w:p>
    <w:bookmarkStart w:id="10" w:name="page11"/>
    <w:bookmarkEnd w:id="10"/>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u w:val="single" w:color="auto"/>
          <w:color w:val="auto"/>
        </w:rPr>
        <w:t>Number of SARs and Base Price</w:t>
      </w:r>
      <w:r>
        <w:rPr>
          <w:rFonts w:ascii="Times New Roman" w:cs="Times New Roman" w:eastAsia="Times New Roman" w:hAnsi="Times New Roman"/>
          <w:sz w:val="18"/>
          <w:szCs w:val="18"/>
          <w:color w:val="auto"/>
        </w:rPr>
        <w:t xml:space="preserve">. The number of SARs subject to an award shall be determined by the Committee. Any Tandem SAR related to an Incentive Stock Option shall be granted at the same time that such Incentive Stock Option is granted. The base price of a Tandem SAR shall be the purchase price per share of Common Stock of the related option. The base price of a Free-Standing SAR shall be determined by the Committee;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base price shall not be less than 100% of the Fair Market Value of a share of Common Stock on the date of grant of such SAR (or, if earlier, the date of grant of the option for which the SAR is exchanged or substituted).</w:t>
      </w:r>
    </w:p>
    <w:p>
      <w:pPr>
        <w:spacing w:after="0" w:line="191"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Notwithstanding the foregoing, in the case of an SAR that is a Substitute Award, the base price per share of the shares subject to such SAR may be less than 100% of the Fair Market Value per share on the date of grant, provided, that the excess of: (a) the aggregate Fair Market Value (as of the date such Substitute Award is granted) of the shares subject to the Substitute Award, over (b) the aggregate base price thereof does not exceed the excess of: (x) the aggregate fair market value (as of the time immediately preceding the transaction giving rise to the Substitute Award, such fair market value to be determined by the Committee) of the shares of the predecessor company or other entity that were subject to the grant assumed or substituted for by the Company, over (y) the aggregate base price of such shares.</w:t>
      </w:r>
    </w:p>
    <w:p>
      <w:pPr>
        <w:spacing w:after="0" w:line="193"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u w:val="single" w:color="auto"/>
          <w:color w:val="auto"/>
        </w:rPr>
        <w:t>Exercise Period and Exercisability</w:t>
      </w:r>
      <w:r>
        <w:rPr>
          <w:rFonts w:ascii="Times New Roman" w:cs="Times New Roman" w:eastAsia="Times New Roman" w:hAnsi="Times New Roman"/>
          <w:sz w:val="18"/>
          <w:szCs w:val="18"/>
          <w:color w:val="auto"/>
        </w:rPr>
        <w:t xml:space="preserve">. The period for the exercise of an SAR shall be determined by the Committee;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 no Tandem SAR shall be exercised later than the expiration, cancellation, forfeiture or other termination of the related option and (ii) no Free-Standing SAR shall be exercised later than ten years after its date of grant. The Committee may, in its discretion, establish Performance Measures which shall be satisfied or met as a condition to the grant of an SAR or to the exercisability of all or a portion of an SAR. The Committee shall determine whether an SAR may be exercised in cumulative or non-cumulative installments and in part or in full at any time. An exercisable SAR, or portion thereof, may be exercised, in the case of a Tandem SAR, only with respect to whole shares of Common Stock and, in the case of a Free Standing SAR, only with respect to a whole number of SARs. If an SAR is exercised for shares of Restricted Stock, a certificate or certificates representing such Restricted Stock shall be issued in accordance with </w:t>
      </w:r>
      <w:r>
        <w:rPr>
          <w:rFonts w:ascii="Times New Roman" w:cs="Times New Roman" w:eastAsia="Times New Roman" w:hAnsi="Times New Roman"/>
          <w:sz w:val="18"/>
          <w:szCs w:val="18"/>
          <w:u w:val="single" w:color="auto"/>
          <w:color w:val="auto"/>
        </w:rPr>
        <w:t>Section 3.2(c)</w:t>
      </w:r>
      <w:r>
        <w:rPr>
          <w:rFonts w:ascii="Times New Roman" w:cs="Times New Roman" w:eastAsia="Times New Roman" w:hAnsi="Times New Roman"/>
          <w:sz w:val="18"/>
          <w:szCs w:val="18"/>
          <w:color w:val="auto"/>
        </w:rPr>
        <w:t xml:space="preserve">, or such shares shall be transferred to the holder in book entry form with restrictions on the shares duly noted, and the holder of such Restricted Stock shall have such rights of a stockholder of the Company as determined pursuant to </w:t>
      </w:r>
      <w:r>
        <w:rPr>
          <w:rFonts w:ascii="Times New Roman" w:cs="Times New Roman" w:eastAsia="Times New Roman" w:hAnsi="Times New Roman"/>
          <w:sz w:val="18"/>
          <w:szCs w:val="18"/>
          <w:u w:val="single" w:color="auto"/>
          <w:color w:val="auto"/>
        </w:rPr>
        <w:t>Section 3.2(d)</w:t>
      </w:r>
      <w:r>
        <w:rPr>
          <w:rFonts w:ascii="Times New Roman" w:cs="Times New Roman" w:eastAsia="Times New Roman" w:hAnsi="Times New Roman"/>
          <w:sz w:val="18"/>
          <w:szCs w:val="18"/>
          <w:color w:val="auto"/>
        </w:rPr>
        <w:t>. Prior to the exercise of a stock-settled SAR, the holder of such SAR shall have no rights as a stockholder of the Company with respect to the shares of Common Stock subject to such SAR.</w:t>
      </w: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A Tandem SAR may be exercised (i) by giving written notice to the Company specifying the number of whole SARs which are being exercised, (ii) by surrendering to the Company any options which are cancelled by reason of the exercise of the Tandem SAR and (iii) by executing such documents as the Company may reasonably request. A Free-Standing SAR may be exercised (A) by giving written notice to the Company specifying the whole number of SARs which are being exercised and (B) by executing such documents as the Company may reasonably request. No shares of Common Stock shall be issued and no certificate representing Common Stock shall be delivered until any withholding taxes thereon, as described in Section 5.5, have been paid (or arrangement made for such payment to the Company’s satisfaction).</w:t>
      </w:r>
    </w:p>
    <w:p>
      <w:pPr>
        <w:spacing w:after="0" w:line="200" w:lineRule="exact"/>
        <w:rPr>
          <w:sz w:val="20"/>
          <w:szCs w:val="20"/>
          <w:color w:val="auto"/>
        </w:rPr>
      </w:pPr>
    </w:p>
    <w:p>
      <w:pPr>
        <w:spacing w:after="0" w:line="232"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8"/>
          <w:szCs w:val="18"/>
          <w:b w:val="1"/>
          <w:bCs w:val="1"/>
          <w:color w:val="auto"/>
        </w:rPr>
        <w:t xml:space="preserve">2.3 </w:t>
      </w:r>
      <w:r>
        <w:rPr>
          <w:rFonts w:ascii="Times New Roman" w:cs="Times New Roman" w:eastAsia="Times New Roman" w:hAnsi="Times New Roman"/>
          <w:sz w:val="18"/>
          <w:szCs w:val="18"/>
          <w:b w:val="1"/>
          <w:bCs w:val="1"/>
          <w:u w:val="single" w:color="auto"/>
          <w:color w:val="auto"/>
        </w:rPr>
        <w:t>Termination of Employment or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of the terms relating to the exercise, cancellation or other disposition of an option or SAR (i) upon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of employment with or service to the Company of the holder of such option or SAR, as the case may be, whether by reason of disability, retirement, death or any other reason, or (ii) during a paid or unpaid leave of absence, shall be determined by the Committee and set forth in the applicable award Agreement.</w:t>
      </w:r>
    </w:p>
    <w:p>
      <w:pPr>
        <w:spacing w:after="0" w:line="184"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8"/>
          <w:szCs w:val="18"/>
          <w:b w:val="1"/>
          <w:bCs w:val="1"/>
          <w:color w:val="auto"/>
        </w:rPr>
        <w:t xml:space="preserve">2.4 </w:t>
      </w:r>
      <w:r>
        <w:rPr>
          <w:rFonts w:ascii="Times New Roman" w:cs="Times New Roman" w:eastAsia="Times New Roman" w:hAnsi="Times New Roman"/>
          <w:sz w:val="18"/>
          <w:szCs w:val="18"/>
          <w:b w:val="1"/>
          <w:bCs w:val="1"/>
          <w:u w:val="single" w:color="auto"/>
          <w:color w:val="auto"/>
        </w:rPr>
        <w:t>No Repricing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Committee shall not, without the approval of the stockholders of the Company, (i) reduce the purchase price or base price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previously granted option or SAR, (ii) cancel any previously granted option or SAR in exchange for another option or SAR with a lower purchase price or base price or (iii) cancel any previously granted option or SAR in exchange for cash or another award if the purchase price of such option or the base price of such SAR exceeds the Fair Market Value of a share of Common Stock on the date of such cancellation, in each case, other than in connection with a Change in Control or the adjustment provisions set forth in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b w:val="1"/>
          <w:bCs w:val="1"/>
          <w:color w:val="auto"/>
        </w:rPr>
        <w:t xml:space="preserve">2.5 </w:t>
      </w:r>
      <w:r>
        <w:rPr>
          <w:rFonts w:ascii="Times New Roman" w:cs="Times New Roman" w:eastAsia="Times New Roman" w:hAnsi="Times New Roman"/>
          <w:sz w:val="18"/>
          <w:szCs w:val="18"/>
          <w:b w:val="1"/>
          <w:bCs w:val="1"/>
          <w:u w:val="single" w:color="auto"/>
          <w:color w:val="auto"/>
        </w:rPr>
        <w:t>No Dividend Equivalents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in an Agreement to the contrary, the holder of an option or SAR shall not be entitled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 dividend equivalents with respect to the number of shares of Common Stock subject to such option or SAR.</w:t>
      </w:r>
    </w:p>
    <w:p>
      <w:pPr>
        <w:spacing w:after="0" w:line="167" w:lineRule="exact"/>
        <w:rPr>
          <w:sz w:val="20"/>
          <w:szCs w:val="20"/>
          <w:color w:val="auto"/>
        </w:rPr>
      </w:pPr>
    </w:p>
    <w:p>
      <w:pPr>
        <w:ind w:left="5080" w:hanging="344"/>
        <w:spacing w:after="0"/>
        <w:tabs>
          <w:tab w:leader="none" w:pos="50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AWARDS</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301" w:lineRule="exact"/>
        <w:rPr>
          <w:rFonts w:ascii="Times New Roman" w:cs="Times New Roman" w:eastAsia="Times New Roman" w:hAnsi="Times New Roman"/>
          <w:sz w:val="18"/>
          <w:szCs w:val="18"/>
          <w:b w:val="1"/>
          <w:bCs w:val="1"/>
          <w:color w:val="auto"/>
        </w:rPr>
      </w:pPr>
    </w:p>
    <w:p>
      <w:pPr>
        <w:ind w:left="55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783" w:right="339" w:bottom="1440" w:gutter="0" w:footer="0" w:header="0"/>
        </w:sectPr>
      </w:pPr>
    </w:p>
    <w:bookmarkStart w:id="11" w:name="page12"/>
    <w:bookmarkEnd w:id="11"/>
    <w:p>
      <w:pPr>
        <w:jc w:val="both"/>
        <w:spacing w:after="0" w:line="307" w:lineRule="auto"/>
        <w:rPr>
          <w:sz w:val="20"/>
          <w:szCs w:val="20"/>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18"/>
          <w:szCs w:val="18"/>
          <w:b w:val="1"/>
          <w:bCs w:val="1"/>
          <w:u w:val="single" w:color="auto"/>
          <w:color w:val="auto"/>
        </w:rPr>
        <w:t>Stock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Committee may, in its discretion, grant Stock Awards to such eligible persons as may be selected by the Committee.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relating to a Stock Award shall specify whether the Stock Award is a Restricted Stock Award, a Restricted Stock Unit Award or, in the case of an Other Stock Award, the type of award being granted.</w:t>
      </w:r>
    </w:p>
    <w:p>
      <w:pPr>
        <w:spacing w:after="0" w:line="178"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b w:val="1"/>
          <w:bCs w:val="1"/>
          <w:color w:val="auto"/>
        </w:rPr>
        <w:t xml:space="preserve">3.2 </w:t>
      </w:r>
      <w:r>
        <w:rPr>
          <w:rFonts w:ascii="Times New Roman" w:cs="Times New Roman" w:eastAsia="Times New Roman" w:hAnsi="Times New Roman"/>
          <w:sz w:val="18"/>
          <w:szCs w:val="18"/>
          <w:b w:val="1"/>
          <w:bCs w:val="1"/>
          <w:u w:val="single" w:color="auto"/>
          <w:color w:val="auto"/>
        </w:rPr>
        <w:t>Terms of Restricted Stock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Stock Awards shall be subject to the following terms and conditions and shall contain such additional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and conditions, not inconsistent with the terms of this Plan, as the Committee shall deem advisable.</w:t>
      </w:r>
    </w:p>
    <w:p>
      <w:pPr>
        <w:spacing w:after="0" w:line="171" w:lineRule="exact"/>
        <w:rPr>
          <w:sz w:val="20"/>
          <w:szCs w:val="20"/>
          <w:color w:val="auto"/>
        </w:rPr>
      </w:pPr>
    </w:p>
    <w:p>
      <w:pPr>
        <w:jc w:val="both"/>
        <w:ind w:right="20" w:firstLine="648"/>
        <w:spacing w:after="0" w:line="313" w:lineRule="auto"/>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u w:val="single" w:color="auto"/>
          <w:color w:val="auto"/>
        </w:rPr>
        <w:t>Number of Shares and Other Terms</w:t>
      </w:r>
      <w:r>
        <w:rPr>
          <w:rFonts w:ascii="Times New Roman" w:cs="Times New Roman" w:eastAsia="Times New Roman" w:hAnsi="Times New Roman"/>
          <w:sz w:val="18"/>
          <w:szCs w:val="18"/>
          <w:color w:val="auto"/>
        </w:rPr>
        <w:t>. The number of shares of Common Stock subject to a Restricted Stock Award and the Restriction Period, Performance Period (if any) and Performance Measures (if any) applicable to a Restricted Stock Award shall be determined by the Committee.</w:t>
      </w:r>
    </w:p>
    <w:p>
      <w:pPr>
        <w:spacing w:after="0" w:line="176"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u w:val="single" w:color="auto"/>
          <w:color w:val="auto"/>
        </w:rPr>
        <w:t>Vesting and Forfeiture</w:t>
      </w:r>
      <w:r>
        <w:rPr>
          <w:rFonts w:ascii="Times New Roman" w:cs="Times New Roman" w:eastAsia="Times New Roman" w:hAnsi="Times New Roman"/>
          <w:sz w:val="18"/>
          <w:szCs w:val="18"/>
          <w:color w:val="auto"/>
        </w:rPr>
        <w:t>. The Agreement relating to a Restricted Stock Award shall provide, in the manner determined by the Committee, in its discretion, and subject to the provisions of this Plan, for the vesting of the shares of Common Stock subject to such award (i) if the holder of such award remains continuously in the employment of the Company during the specified Restriction Period or (ii) if specified Performance Measures (if any) are satisfied or met during a specified Performance Period, and for the forfeiture of the shares of Common Stock subject to such award (x) if the holder of such award does not remain continuously in the employment of the Company during the specified Restriction Period or (y) if specified Performance Measures (if any) are not satisfied or met during a specified Performance Period.</w:t>
      </w:r>
    </w:p>
    <w:p>
      <w:pPr>
        <w:spacing w:after="0" w:line="193"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u w:val="single" w:color="auto"/>
          <w:color w:val="auto"/>
        </w:rPr>
        <w:t>Stock Issuance</w:t>
      </w:r>
      <w:r>
        <w:rPr>
          <w:rFonts w:ascii="Times New Roman" w:cs="Times New Roman" w:eastAsia="Times New Roman" w:hAnsi="Times New Roman"/>
          <w:sz w:val="18"/>
          <w:szCs w:val="18"/>
          <w:color w:val="auto"/>
        </w:rPr>
        <w:t xml:space="preserve">. During the Restriction Period, the shares of Restricted Stock shall be held by a custodian in book entry form with restrictions on such shares duly noted or, alternatively, a certificate or certificates representing a Restricted Stock Award shall be registered in the holder’s name and may bear a legend, in addition to any legend which may be required pursuant to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indicating that the ownership of the shares of Common Stock represented by such certificate is subject to the restrictions, terms and conditions of this Plan and the Agreement relating to the Restricted Stock Award. All such certificates shall be deposited with the Company, together with stock powers or other instruments of assignment (including a power of attorney), each endorsed in blank with a guarantee of signature if deemed necessary or appropriate, which would permit transfer to the Company of all or a portion of the shares of Common Stock subject to the Restricted Stock Award in the event such award is forfeited in whole or in part. Upon termination of any applicable Restriction Period (and the satisfaction or attainment of applicable Performance Measures), subject to the Company’s right to require payment of any taxes in accordance with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the restrictions shall be removed from the requisite number of any shares of Common Stock that are held in book entry form, and all certificates evidencing ownership of the requisite number of shares of Common Stock shall be delivered to the holder of such award.</w:t>
      </w:r>
    </w:p>
    <w:p>
      <w:pPr>
        <w:spacing w:after="0" w:line="187"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8"/>
          <w:szCs w:val="18"/>
          <w:u w:val="single" w:color="auto"/>
          <w:color w:val="auto"/>
        </w:rPr>
        <w:t>Rights with Respect to Restricted Stock Awards</w:t>
      </w:r>
      <w:r>
        <w:rPr>
          <w:rFonts w:ascii="Times New Roman" w:cs="Times New Roman" w:eastAsia="Times New Roman" w:hAnsi="Times New Roman"/>
          <w:sz w:val="18"/>
          <w:szCs w:val="18"/>
          <w:color w:val="auto"/>
        </w:rPr>
        <w:t xml:space="preserve">. Unless otherwise set forth in the Agreement relating to a Restricted Stock Award, and subject to the terms and conditions of a Restricted Stock Award, the holder of such award shall have all rights as a stockholder of the Company, including, but not limited to, voting rights, the right to receive dividends and the right to participate in any capital adjustment applicable to all holders of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distribution or dividend with respect to shares of Common Stock, including a regular cash dividend, shall be deposited with the Company and shall be subject to the same restrictions as the shares of Common Stock with respect to which such distribution was made.</w:t>
      </w:r>
    </w:p>
    <w:p>
      <w:pPr>
        <w:spacing w:after="0" w:line="187"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b w:val="1"/>
          <w:bCs w:val="1"/>
          <w:color w:val="auto"/>
        </w:rPr>
        <w:t xml:space="preserve">3.3 </w:t>
      </w:r>
      <w:r>
        <w:rPr>
          <w:rFonts w:ascii="Times New Roman" w:cs="Times New Roman" w:eastAsia="Times New Roman" w:hAnsi="Times New Roman"/>
          <w:sz w:val="18"/>
          <w:szCs w:val="18"/>
          <w:b w:val="1"/>
          <w:bCs w:val="1"/>
          <w:u w:val="single" w:color="auto"/>
          <w:color w:val="auto"/>
        </w:rPr>
        <w:t>Terms of Restricted Stock Unit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Stock Unit Awards shall be subject to the following terms and conditions and shall contain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 terms and conditions, not inconsistent with the terms of this Plan, as the Committee shall deem advisable.</w:t>
      </w:r>
    </w:p>
    <w:p>
      <w:pPr>
        <w:spacing w:after="0" w:line="171"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u w:val="single" w:color="auto"/>
          <w:color w:val="auto"/>
        </w:rPr>
        <w:t>Number of Shares and Other Terms</w:t>
      </w:r>
      <w:r>
        <w:rPr>
          <w:rFonts w:ascii="Times New Roman" w:cs="Times New Roman" w:eastAsia="Times New Roman" w:hAnsi="Times New Roman"/>
          <w:sz w:val="18"/>
          <w:szCs w:val="18"/>
          <w:color w:val="auto"/>
        </w:rPr>
        <w:t>. The number of shares of Common Stock subject to a Restricted Stock Unit Award, including the number of shares that are earned upon the attainment of any specified Performance Measures, and the Restriction Period, Performance Period (if any) and Performance Measures (if any) applicable to a Restricted Stock Unit Award shall be determined by the Committee.</w:t>
      </w:r>
    </w:p>
    <w:p>
      <w:pPr>
        <w:spacing w:after="0" w:line="18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u w:val="single" w:color="auto"/>
          <w:color w:val="auto"/>
        </w:rPr>
        <w:t>Vesting and Forfeiture</w:t>
      </w:r>
      <w:r>
        <w:rPr>
          <w:rFonts w:ascii="Times New Roman" w:cs="Times New Roman" w:eastAsia="Times New Roman" w:hAnsi="Times New Roman"/>
          <w:sz w:val="18"/>
          <w:szCs w:val="18"/>
          <w:color w:val="auto"/>
        </w:rPr>
        <w:t>. The Agreement relating to a Restricted Stock Unit Award shall provide, in the manner determined by the Committee, in its discretion, and subject to the provisions of this Plan, for the vesting of such Restricted Stock Unit Award (i) if the holder of such award remains continuously in the employment of the Company during the specified Restriction Period or (ii) if specified Performance Measures (if any) are satisfied or met during a specified Performance Period, and for the forfeiture of the shares of Common Stock subject to such award (x) if the holder of such award does not remain continuously in the employment of the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779" w:right="339" w:bottom="1440" w:gutter="0" w:footer="0" w:header="0"/>
        </w:sectPr>
      </w:pPr>
    </w:p>
    <w:bookmarkStart w:id="12" w:name="page13"/>
    <w:bookmarkEnd w:id="12"/>
    <w:p>
      <w:pPr>
        <w:jc w:val="both"/>
        <w:spacing w:after="0" w:line="329" w:lineRule="auto"/>
        <w:rPr>
          <w:sz w:val="20"/>
          <w:szCs w:val="20"/>
          <w:color w:val="auto"/>
        </w:rPr>
      </w:pPr>
      <w:r>
        <w:rPr>
          <w:rFonts w:ascii="Times New Roman" w:cs="Times New Roman" w:eastAsia="Times New Roman" w:hAnsi="Times New Roman"/>
          <w:sz w:val="18"/>
          <w:szCs w:val="18"/>
          <w:color w:val="auto"/>
        </w:rPr>
        <w:t>Company during the specified Restriction Period or (y) if specified Performance Measures (if any) are not satisfied or met during a specified Performance Period.</w:t>
      </w:r>
    </w:p>
    <w:p>
      <w:pPr>
        <w:spacing w:after="0" w:line="148"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u w:val="single" w:color="auto"/>
          <w:color w:val="auto"/>
        </w:rPr>
        <w:t>Settlement of Vested Restricted Stock Unit Awards</w:t>
      </w:r>
      <w:r>
        <w:rPr>
          <w:rFonts w:ascii="Times New Roman" w:cs="Times New Roman" w:eastAsia="Times New Roman" w:hAnsi="Times New Roman"/>
          <w:sz w:val="18"/>
          <w:szCs w:val="18"/>
          <w:color w:val="auto"/>
        </w:rPr>
        <w:t>. The Agreement relating to a Restricted Stock Unit Award shall specify (i) whether such award may be settled in shares of Common Stock or cash or a combination thereof and (ii) whether the holder thereof shall be entitled to receive, on a current or deferred basis, dividend equivalents, and, if determined by the Committee, interest on, or the deemed reinvestment of, any deferred dividend equivalents, with respect to the number of shares of Common Stock subject to such award. Any dividend equivalents with respect to Restricted Stock Units that are subject to vesting conditions shall be subject to the same vesting conditions as the underlying awards. Prior to the settlement of a Restricted Stock Unit Award, the holder of such award shall have no rights as a stockholder of the Company with respect to the shares of Common Stock subject to such award.</w:t>
      </w:r>
    </w:p>
    <w:p>
      <w:pPr>
        <w:spacing w:after="0" w:line="192"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b w:val="1"/>
          <w:bCs w:val="1"/>
          <w:color w:val="auto"/>
        </w:rPr>
        <w:t xml:space="preserve">3.4 </w:t>
      </w:r>
      <w:r>
        <w:rPr>
          <w:rFonts w:ascii="Times New Roman" w:cs="Times New Roman" w:eastAsia="Times New Roman" w:hAnsi="Times New Roman"/>
          <w:sz w:val="18"/>
          <w:szCs w:val="18"/>
          <w:b w:val="1"/>
          <w:bCs w:val="1"/>
          <w:u w:val="single" w:color="auto"/>
          <w:color w:val="auto"/>
        </w:rPr>
        <w:t>Other Stock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limitations set forth in the Plan, the Committee is authorized to grant other awards that may be denominated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payable in, valued in whole or in part by reference to, or otherwise based on, or related to, shares of Common Stock, including without limitation shares of Common Stock granted as a bonus and not subject to any vesting conditions, dividend equivalents, deferred stock units, stock purchase rights and shares of Common Stock issued in lieu of obligations of the Company to pay cash under any compensatory plan or arrangement, subject to such terms as shall be determined by the Committee. The Committee shall determine the terms and conditions of such awards, which may include the right to elective deferral thereof, subject to such terms and conditions as the Committee may specify in its discretion. Any distribution, dividend or dividend equivalents with respect to Other Stock Awards that are subject to vesting conditions shall be subject to the same vesting conditions as the underlying awards.</w:t>
      </w:r>
    </w:p>
    <w:p>
      <w:pPr>
        <w:spacing w:after="0" w:line="190"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8"/>
          <w:szCs w:val="18"/>
          <w:b w:val="1"/>
          <w:bCs w:val="1"/>
          <w:color w:val="auto"/>
        </w:rPr>
        <w:t xml:space="preserve">3.5 </w:t>
      </w:r>
      <w:r>
        <w:rPr>
          <w:rFonts w:ascii="Times New Roman" w:cs="Times New Roman" w:eastAsia="Times New Roman" w:hAnsi="Times New Roman"/>
          <w:sz w:val="18"/>
          <w:szCs w:val="18"/>
          <w:b w:val="1"/>
          <w:bCs w:val="1"/>
          <w:u w:val="single" w:color="auto"/>
          <w:color w:val="auto"/>
        </w:rPr>
        <w:t>Termination of Employment or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of the terms relating to the satisfaction of Performance Measures and the termination of the Restriction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or Performance Period relating to a Stock Award, or any forfeiture and cancellation of such award (i) upon a termination of employment with or service to the Company of the holder of such award, whether by reason of disability, retirement, death or any other reason, or (ii) during a paid or unpaid leave of absence, shall be determined by the Committee and set forth in the applicable award Agreement.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IV. PERFORMANCE AWARDS</w:t>
      </w:r>
    </w:p>
    <w:p>
      <w:pPr>
        <w:spacing w:after="0" w:line="266" w:lineRule="exact"/>
        <w:rPr>
          <w:sz w:val="20"/>
          <w:szCs w:val="20"/>
          <w:color w:val="auto"/>
        </w:rPr>
      </w:pPr>
    </w:p>
    <w:p>
      <w:pPr>
        <w:jc w:val="both"/>
        <w:ind w:right="20"/>
        <w:spacing w:after="0" w:line="318" w:lineRule="auto"/>
        <w:rPr>
          <w:sz w:val="20"/>
          <w:szCs w:val="20"/>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b w:val="1"/>
          <w:bCs w:val="1"/>
          <w:u w:val="single" w:color="auto"/>
          <w:color w:val="auto"/>
        </w:rPr>
        <w:t>Performance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Committee may, in its discretion, grant Performance Awards to such eligible persons as may be selected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w:t>
      </w:r>
    </w:p>
    <w:p>
      <w:pPr>
        <w:spacing w:after="0" w:line="167"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b w:val="1"/>
          <w:bCs w:val="1"/>
          <w:u w:val="single" w:color="auto"/>
          <w:color w:val="auto"/>
        </w:rPr>
        <w:t>Terms of Performance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Awards shall be subject to the following terms and conditions and shall contain such additional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conditions, not inconsistent with the terms of this Plan, as the Committee shall deem advisable.</w:t>
      </w:r>
    </w:p>
    <w:p>
      <w:pPr>
        <w:spacing w:after="0" w:line="171"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u w:val="single" w:color="auto"/>
          <w:color w:val="auto"/>
        </w:rPr>
        <w:t>Value of Performance Awards and Performance Measures</w:t>
      </w:r>
      <w:r>
        <w:rPr>
          <w:rFonts w:ascii="Times New Roman" w:cs="Times New Roman" w:eastAsia="Times New Roman" w:hAnsi="Times New Roman"/>
          <w:sz w:val="18"/>
          <w:szCs w:val="18"/>
          <w:color w:val="auto"/>
        </w:rPr>
        <w:t>. The method of determining the value of the Performance Award and the Performance Measures and Performance Period applicable to a Performance Award shall be determined by the Committee.</w:t>
      </w:r>
    </w:p>
    <w:p>
      <w:pPr>
        <w:spacing w:after="0" w:line="17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u w:val="single" w:color="auto"/>
          <w:color w:val="auto"/>
        </w:rPr>
        <w:t>Vesting and Forfeiture</w:t>
      </w:r>
      <w:r>
        <w:rPr>
          <w:rFonts w:ascii="Times New Roman" w:cs="Times New Roman" w:eastAsia="Times New Roman" w:hAnsi="Times New Roman"/>
          <w:sz w:val="18"/>
          <w:szCs w:val="18"/>
          <w:color w:val="auto"/>
        </w:rPr>
        <w:t>. The Agreement relating to a Performance Award shall provide, in the manner determined by the Committee, in its discretion, and subject to the provisions of this Plan, for the vesting of such Performance Award if the specified Performance Measures are satisfied or met during the specified Performance Period and for the forfeiture of such award if the specified Performance Measures are not satisfied or met during the specified Performance Period.</w:t>
      </w:r>
    </w:p>
    <w:p>
      <w:pPr>
        <w:spacing w:after="0" w:line="190"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u w:val="single" w:color="auto"/>
          <w:color w:val="auto"/>
        </w:rPr>
        <w:t>Settlement of Vested Performance Awards.</w:t>
      </w:r>
      <w:r>
        <w:rPr>
          <w:rFonts w:ascii="Times New Roman" w:cs="Times New Roman" w:eastAsia="Times New Roman" w:hAnsi="Times New Roman"/>
          <w:sz w:val="18"/>
          <w:szCs w:val="18"/>
          <w:color w:val="auto"/>
        </w:rPr>
        <w:t xml:space="preserve"> The Agreement relating to a Performance Award shall specify whether such award may be settled in shares of Common Stock (including shares of Restricted Stock) or cash or a combination thereof. If a Performance Award is settled in shares of Restricted Stock, such shares of Restricted Stock shall be issued to the holder in book entry form or a certificate or certificates representing such Restricted Stock shall be issued in accordance with </w:t>
      </w:r>
      <w:r>
        <w:rPr>
          <w:rFonts w:ascii="Times New Roman" w:cs="Times New Roman" w:eastAsia="Times New Roman" w:hAnsi="Times New Roman"/>
          <w:sz w:val="18"/>
          <w:szCs w:val="18"/>
          <w:u w:val="single" w:color="auto"/>
          <w:color w:val="auto"/>
        </w:rPr>
        <w:t>Section 3.2(c)</w:t>
      </w:r>
      <w:r>
        <w:rPr>
          <w:rFonts w:ascii="Times New Roman" w:cs="Times New Roman" w:eastAsia="Times New Roman" w:hAnsi="Times New Roman"/>
          <w:sz w:val="18"/>
          <w:szCs w:val="18"/>
          <w:color w:val="auto"/>
        </w:rPr>
        <w:t xml:space="preserve"> and the holder of such Restricted Stock shall have such rights as a stockholder of the Company as determined pursuant to </w:t>
      </w:r>
      <w:r>
        <w:rPr>
          <w:rFonts w:ascii="Times New Roman" w:cs="Times New Roman" w:eastAsia="Times New Roman" w:hAnsi="Times New Roman"/>
          <w:sz w:val="18"/>
          <w:szCs w:val="18"/>
          <w:u w:val="single" w:color="auto"/>
          <w:color w:val="auto"/>
        </w:rPr>
        <w:t>Section 3.2(d)</w:t>
      </w:r>
      <w:r>
        <w:rPr>
          <w:rFonts w:ascii="Times New Roman" w:cs="Times New Roman" w:eastAsia="Times New Roman" w:hAnsi="Times New Roman"/>
          <w:sz w:val="18"/>
          <w:szCs w:val="18"/>
          <w:color w:val="auto"/>
        </w:rPr>
        <w:t>. Any dividends or dividend equivalents with respect to a Performance Award shall be subject to the same restrictions as such Performance Award. Prior to the settlement of a Performance Award in shares of Common Stock, including Restricted Stock, the holder of such award shall have no rights as a stockholder of the Company.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783" w:right="339" w:bottom="1440" w:gutter="0" w:footer="0" w:header="0"/>
        </w:sectPr>
      </w:pPr>
    </w:p>
    <w:bookmarkStart w:id="13" w:name="page14"/>
    <w:bookmarkEnd w:id="13"/>
    <w:p>
      <w:pPr>
        <w:jc w:val="both"/>
        <w:spacing w:after="0" w:line="304" w:lineRule="auto"/>
        <w:rPr>
          <w:sz w:val="20"/>
          <w:szCs w:val="20"/>
          <w:color w:val="auto"/>
        </w:rPr>
      </w:pPr>
      <w:r>
        <w:rPr>
          <w:rFonts w:ascii="Times New Roman" w:cs="Times New Roman" w:eastAsia="Times New Roman" w:hAnsi="Times New Roman"/>
          <w:sz w:val="18"/>
          <w:szCs w:val="18"/>
          <w:b w:val="1"/>
          <w:bCs w:val="1"/>
          <w:color w:val="auto"/>
        </w:rPr>
        <w:t xml:space="preserve">4.3 </w:t>
      </w:r>
      <w:r>
        <w:rPr>
          <w:rFonts w:ascii="Times New Roman" w:cs="Times New Roman" w:eastAsia="Times New Roman" w:hAnsi="Times New Roman"/>
          <w:sz w:val="18"/>
          <w:szCs w:val="18"/>
          <w:b w:val="1"/>
          <w:bCs w:val="1"/>
          <w:u w:val="single" w:color="auto"/>
          <w:color w:val="auto"/>
        </w:rPr>
        <w:t>Termination of Employment or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of the terms relating to the satisfaction of Performance Measures and the termination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Period relating to a Performance Award, or any forfeiture and cancellation of such award (i) upon a termination of employment with or service to the Company of the holder of such award, whether by reason of disability, retirement, death or any other reason, or (ii) during a paid or unpaid leave of absence, shall be determined by the Committee and set forth in the applicable award Agreement.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 GENERAL</w:t>
      </w:r>
    </w:p>
    <w:p>
      <w:pPr>
        <w:spacing w:after="0" w:line="266"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8"/>
          <w:szCs w:val="18"/>
          <w:b w:val="1"/>
          <w:bCs w:val="1"/>
          <w:color w:val="auto"/>
        </w:rPr>
        <w:t xml:space="preserve">5.1 </w:t>
      </w:r>
      <w:r>
        <w:rPr>
          <w:rFonts w:ascii="Times New Roman" w:cs="Times New Roman" w:eastAsia="Times New Roman" w:hAnsi="Times New Roman"/>
          <w:sz w:val="18"/>
          <w:szCs w:val="18"/>
          <w:b w:val="1"/>
          <w:bCs w:val="1"/>
          <w:u w:val="single" w:color="auto"/>
          <w:color w:val="auto"/>
        </w:rPr>
        <w:t>Effective Date and Term of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Plan shall be submitted to the stockholders of the Company for approval at the Company’s 2019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of stockholders and, if approved by the affirmative vote of a majority of the shares of Common Stock present in person or represented by proxy at such annual meeting of stockholders, shall become effective as of the date on which the Plan was approved by the Board. This Plan shall terminate as of the first annual meeting of the Company’s stockholders to occur on or after the tenth anniversary of its effective date, unless terminated earlier by the Board. Termination of this Plan shall not affect the terms or conditions of any award granted prior to termination.</w:t>
      </w:r>
    </w:p>
    <w:p>
      <w:pPr>
        <w:spacing w:after="0" w:line="177"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Awards hereunder may be made at any time prior to the termination of this Plan, provided that no Incentive Stock Option may be granted later than ten years after the date on which the Plan was approved by the Board. In the event that this Plan is not approved by the stockholders of the Company, this Plan and any awards hereunder shall be void and of no force or effect.</w:t>
      </w:r>
    </w:p>
    <w:p>
      <w:pPr>
        <w:spacing w:after="0" w:line="179"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8"/>
          <w:szCs w:val="18"/>
          <w:b w:val="1"/>
          <w:bCs w:val="1"/>
          <w:color w:val="auto"/>
        </w:rPr>
        <w:t xml:space="preserve">5.2 </w:t>
      </w:r>
      <w:r>
        <w:rPr>
          <w:rFonts w:ascii="Times New Roman" w:cs="Times New Roman" w:eastAsia="Times New Roman" w:hAnsi="Times New Roman"/>
          <w:sz w:val="18"/>
          <w:szCs w:val="18"/>
          <w:b w:val="1"/>
          <w:bCs w:val="1"/>
          <w:u w:val="single" w:color="auto"/>
          <w:color w:val="auto"/>
        </w:rPr>
        <w:t>Amendments.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may amend this Plan as it shall deem advisable;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amendment to the Plan shall be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without the approval of the Company’s stockholders if (i) stockholder approval is required by applicable law, rule or regulation, including any rule of the Nasdaq Capital Market, or any other stock exchange on which the Common Stock is then traded, or (ii) such amendment seeks to modify the Non-Employee Director compensation limit set forth in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or the prohibition on repricing set forth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hereof;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no amendment may materially impair the rights of a holder of an outstanding award without the consent of such holder.</w:t>
      </w:r>
    </w:p>
    <w:p>
      <w:pPr>
        <w:spacing w:after="0" w:line="186"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8"/>
          <w:szCs w:val="18"/>
          <w:b w:val="1"/>
          <w:bCs w:val="1"/>
          <w:color w:val="auto"/>
        </w:rPr>
        <w:t xml:space="preserve">5.3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award under this Plan shall be evidenced by an Agreement setting forth the terms and conditions applicable to such award.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shall be valid until an Agreement is executed by the Company and, to the extent required by the Company, executed or electronically accepted by the recipient of such award. Upon such execution or acceptance and delivery of the Agreement to the Company within the time period specified by the Company, such award shall be effective as of the effective date set forth in the Agreement.</w:t>
      </w:r>
    </w:p>
    <w:p>
      <w:pPr>
        <w:spacing w:after="0" w:line="18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b w:val="1"/>
          <w:bCs w:val="1"/>
          <w:color w:val="auto"/>
        </w:rPr>
        <w:t xml:space="preserve">5.4 </w:t>
      </w:r>
      <w:r>
        <w:rPr>
          <w:rFonts w:ascii="Times New Roman" w:cs="Times New Roman" w:eastAsia="Times New Roman" w:hAnsi="Times New Roman"/>
          <w:sz w:val="18"/>
          <w:szCs w:val="18"/>
          <w:b w:val="1"/>
          <w:bCs w:val="1"/>
          <w:u w:val="single" w:color="auto"/>
          <w:color w:val="auto"/>
        </w:rPr>
        <w:t>Non-Transferability.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award shall be transferable other than by will, the laws of descent and distribution or pursuant to beneficiary designation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procedures approved by the Company or, to the extent expressly permitted in the Agreement relating to such award, to the holder’s family members, a trust or entity established by the holder for estate planning purposes, a charitable organization designated by the holder or pursuant to a domestic relations order, in each case, without consideration. Except to the extent permitted by the foregoing sentence or the Agreement relating to an award, each award may be exercised or settled during the holder’s lifetime only by the holder or the holder’s legal representative or similar person. Except as permitted by the second preceding sentence, no award may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any award, such award and all rights thereunder shall immediately become null and void.</w:t>
      </w:r>
    </w:p>
    <w:p>
      <w:pPr>
        <w:spacing w:after="0" w:line="19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b w:val="1"/>
          <w:bCs w:val="1"/>
          <w:color w:val="auto"/>
        </w:rPr>
        <w:t xml:space="preserve">5.5 </w:t>
      </w:r>
      <w:r>
        <w:rPr>
          <w:rFonts w:ascii="Times New Roman" w:cs="Times New Roman" w:eastAsia="Times New Roman" w:hAnsi="Times New Roman"/>
          <w:sz w:val="18"/>
          <w:szCs w:val="18"/>
          <w:b w:val="1"/>
          <w:bCs w:val="1"/>
          <w:u w:val="single" w:color="auto"/>
          <w:color w:val="auto"/>
        </w:rPr>
        <w:t>Tax Withholding.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have the right to require, prior to the issuance or delivery of any shares of Common Stock or the payment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cash pursuant to an award made hereunder, payment by the holder of such award of any federal, state, local or other taxes which may be required to be withheld or paid in connection with such award. An Agreement may provide that (i) the Company shall withhold whole shares of Common Stock which would otherwise be delivered to a holder, having an aggregate Fair Market Value determined as of the date the obligation to withhold or pay taxes arises in connection with an award (the “</w:t>
      </w:r>
      <w:r>
        <w:rPr>
          <w:rFonts w:ascii="Times New Roman" w:cs="Times New Roman" w:eastAsia="Times New Roman" w:hAnsi="Times New Roman"/>
          <w:sz w:val="18"/>
          <w:szCs w:val="18"/>
          <w:u w:val="single" w:color="auto"/>
          <w:color w:val="auto"/>
        </w:rPr>
        <w:t>Tax Date</w:t>
      </w:r>
      <w:r>
        <w:rPr>
          <w:rFonts w:ascii="Times New Roman" w:cs="Times New Roman" w:eastAsia="Times New Roman" w:hAnsi="Times New Roman"/>
          <w:sz w:val="18"/>
          <w:szCs w:val="18"/>
          <w:color w:val="auto"/>
        </w:rPr>
        <w:t>”), or withhold an amount of cash which would otherwise be payable to a holder, in the amount necessary to satisfy any such obligation or (ii) the holder may satisfy any such obligation by any of the following means: (A) a cash payment to the Company; (B) delivery (either actual delivery or by attestation procedures established by the Company) to the Company of previously owned whole shares of Common Stock having an aggregate Fair Market Value, determined as of the Tax Date, equal to the amount necessary to satisfy any such obligation; (C) authorizing the Company to withhold whole shares of Common Stock which would otherwise be delivered having</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779" w:right="339" w:bottom="1440" w:gutter="0" w:footer="0" w:header="0"/>
        </w:sectPr>
      </w:pPr>
    </w:p>
    <w:bookmarkStart w:id="14" w:name="page15"/>
    <w:bookmarkEnd w:id="14"/>
    <w:p>
      <w:pPr>
        <w:jc w:val="both"/>
        <w:spacing w:after="0" w:line="295" w:lineRule="auto"/>
        <w:rPr>
          <w:sz w:val="20"/>
          <w:szCs w:val="20"/>
          <w:color w:val="auto"/>
        </w:rPr>
      </w:pPr>
      <w:r>
        <w:rPr>
          <w:rFonts w:ascii="Times New Roman" w:cs="Times New Roman" w:eastAsia="Times New Roman" w:hAnsi="Times New Roman"/>
          <w:sz w:val="18"/>
          <w:szCs w:val="18"/>
          <w:color w:val="auto"/>
        </w:rPr>
        <w:t>an aggregate Fair Market Value, determined as of the Tax Date, or withhold an amount of cash which would otherwise be payable to a holder, in either case equal to the amount necessary to satisfy any such obligation; (D) in the case of the exercise of an option, a cash payment by a broker-dealer acceptable to the Company to whom the participant has submitted an irrevocable notice of exercise or (E) any combination of (A), (B) and (C), in each case to the extent set forth in the Agreement relating to the award. Shares of Common Stock to be delivered or withheld may not have an aggregate Fair Market Value in excess of the amount determined by applying the minimum statutory withholding rate (or, if permitted by the Company, such other rate as will not cause adverse accounting consequences under the accounting rules then in effect, and is permitted under applicable IRS withholding rules). Any fraction of a share of Common Stock which would be required to satisfy such an obligation shall be disregarded and the remaining amount due shall be paid in cash by the holder.</w:t>
      </w:r>
    </w:p>
    <w:p>
      <w:pPr>
        <w:spacing w:after="0" w:line="17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b w:val="1"/>
          <w:bCs w:val="1"/>
          <w:color w:val="auto"/>
        </w:rPr>
        <w:t xml:space="preserve">5.6 </w:t>
      </w:r>
      <w:r>
        <w:rPr>
          <w:rFonts w:ascii="Times New Roman" w:cs="Times New Roman" w:eastAsia="Times New Roman" w:hAnsi="Times New Roman"/>
          <w:sz w:val="18"/>
          <w:szCs w:val="18"/>
          <w:b w:val="1"/>
          <w:bCs w:val="1"/>
          <w:u w:val="single" w:color="auto"/>
          <w:color w:val="auto"/>
        </w:rPr>
        <w:t>Restrictions on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award made hereunder shall be subject to the requirement that if at any time the Company determines that the listing,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or qualification of the shares of Common Stock subject to such award upon any securities exchange or under any law, or the consent or approval of any governmental body, or the taking of any other action is necessary or desirable as a condition of, or in connection with, the delivery of shares thereunder, such shares shall not be delivered unless such listing, registration, qualification, consent, approval or other action shall have been effected or obtained, free of any conditions not acceptable to the Company. The Company may require that certificates evidencing shares of Common Stock delivered pursuant to any award made hereunder bear a legend indicating that the sale, transfer or other disposition thereof by the holder is prohibited except in compliance with the Securities Act of 1933, as amended, and the rules and regulations thereunder.</w:t>
      </w:r>
    </w:p>
    <w:p>
      <w:pPr>
        <w:spacing w:after="0" w:line="19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b w:val="1"/>
          <w:bCs w:val="1"/>
          <w:color w:val="auto"/>
        </w:rPr>
        <w:t xml:space="preserve">5.7 </w:t>
      </w:r>
      <w:r>
        <w:rPr>
          <w:rFonts w:ascii="Times New Roman" w:cs="Times New Roman" w:eastAsia="Times New Roman" w:hAnsi="Times New Roman"/>
          <w:sz w:val="18"/>
          <w:szCs w:val="18"/>
          <w:b w:val="1"/>
          <w:bCs w:val="1"/>
          <w:u w:val="single" w:color="auto"/>
          <w:color w:val="auto"/>
        </w:rPr>
        <w:t>Adjustment.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of any equity restructuring (within the meaning of Financial Accounting Standards Board Accounting Standards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Codification Topic 718, Compensation—Stock Compensation or any successor or replacement accounting standard) that causes the per share value of shares of Common Stock to change, such as a stock dividend, stock split, spinoff, rights offering or recapitalization through an extraordinary cash dividend, the number and class of securities available under this Plan, the terms of each outstanding option and SAR (including the number and class of securities subject to each outstanding option or SAR and the purchase price or base price per share), the terms of each outstanding Stock Award (including the number and class of securities subject thereto), and the terms of each outstanding Performance Award (including the number and class of securities subject thereto, if applicable), shall be appropriately adjusted by the Committee, such adjustments to be made in the case of outstanding options and SARs in accordance with Section 409A of the Code. In the event of any other change in corporate capitalization, including a merger, consolidation, reorganization, or partial or complete liquidation of the Company, such equitable adjustments described in the foregoing sentence may be made as determined to be appropriate and equitable by the Committee to prevent dilution or enlargement of rights of participants. In either case, the decision of the Committee regarding any such adjustment shall be final, binding and conclusive.</w:t>
      </w:r>
    </w:p>
    <w:p>
      <w:pPr>
        <w:spacing w:after="0" w:line="19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5.8</w:t>
      </w:r>
      <w:r>
        <w:rPr>
          <w:sz w:val="20"/>
          <w:szCs w:val="20"/>
          <w:color w:val="auto"/>
        </w:rPr>
        <w:tab/>
      </w:r>
      <w:r>
        <w:rPr>
          <w:rFonts w:ascii="Times New Roman" w:cs="Times New Roman" w:eastAsia="Times New Roman" w:hAnsi="Times New Roman"/>
          <w:sz w:val="17"/>
          <w:szCs w:val="17"/>
          <w:b w:val="1"/>
          <w:bCs w:val="1"/>
          <w:u w:val="single" w:color="auto"/>
          <w:color w:val="auto"/>
        </w:rPr>
        <w:t>Change in Control.</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(a)Subject to the terms of the applicable award Agreements, in the event of a “Change in Control,” the Board, as constituted prior to the Change in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 may, in its discretion:</w:t>
      </w:r>
    </w:p>
    <w:p>
      <w:pPr>
        <w:spacing w:after="0" w:line="252" w:lineRule="exact"/>
        <w:rPr>
          <w:sz w:val="20"/>
          <w:szCs w:val="20"/>
          <w:color w:val="auto"/>
        </w:rPr>
      </w:pPr>
    </w:p>
    <w:p>
      <w:pPr>
        <w:ind w:left="3560" w:hanging="300"/>
        <w:spacing w:after="0"/>
        <w:tabs>
          <w:tab w:leader="none" w:pos="35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(i) some or all outstanding options and SARs shall become exercisable in full or in part, either</w:t>
      </w:r>
    </w:p>
    <w:p>
      <w:pPr>
        <w:spacing w:after="0" w:line="49" w:lineRule="exact"/>
        <w:rPr>
          <w:rFonts w:ascii="Times New Roman" w:cs="Times New Roman" w:eastAsia="Times New Roman" w:hAnsi="Times New Roman"/>
          <w:sz w:val="18"/>
          <w:szCs w:val="18"/>
          <w:color w:val="auto"/>
        </w:rPr>
      </w:pPr>
    </w:p>
    <w:p>
      <w:pPr>
        <w:jc w:val="both"/>
        <w:ind w:left="3580"/>
        <w:spacing w:after="0" w:line="29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or upon a subsequent termination of employment, (ii) the Restriction Period applicable to some or all outstanding Stock Awards shall lapse in full or in part, either immediately or upon a subsequent termination of employment, (iii) the Performance Period applicable to some or all outstanding</w:t>
      </w:r>
    </w:p>
    <w:p>
      <w:pPr>
        <w:ind w:left="358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shall lapse in full or in part, and (iv) the Performance Measures applicable to some or all outstanding awards shall be deemed to be satisfied at the target, maximum or any other level;</w:t>
      </w:r>
    </w:p>
    <w:p>
      <w:pPr>
        <w:spacing w:after="0" w:line="175" w:lineRule="exact"/>
        <w:rPr>
          <w:rFonts w:ascii="Times New Roman" w:cs="Times New Roman" w:eastAsia="Times New Roman" w:hAnsi="Times New Roman"/>
          <w:sz w:val="18"/>
          <w:szCs w:val="18"/>
          <w:color w:val="auto"/>
        </w:rPr>
      </w:pPr>
    </w:p>
    <w:p>
      <w:pPr>
        <w:jc w:val="both"/>
        <w:ind w:left="3580" w:hanging="320"/>
        <w:spacing w:after="0" w:line="289" w:lineRule="auto"/>
        <w:tabs>
          <w:tab w:leader="none" w:pos="357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shares of capital stock of the corporation resulting from or succeeding to the business of the Company pursuant to such Change in Control, or a parent corporation thereof, be substituted for some or</w:t>
      </w:r>
    </w:p>
    <w:p>
      <w:pPr>
        <w:spacing w:after="0" w:line="1" w:lineRule="exact"/>
        <w:rPr>
          <w:rFonts w:ascii="Times New Roman" w:cs="Times New Roman" w:eastAsia="Times New Roman" w:hAnsi="Times New Roman"/>
          <w:sz w:val="18"/>
          <w:szCs w:val="18"/>
          <w:color w:val="auto"/>
        </w:rPr>
      </w:pPr>
    </w:p>
    <w:p>
      <w:pPr>
        <w:ind w:left="3580" w:right="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of the shares of Common Stock subject to an outstanding award, with an appropriate and equitable adjustment to such award as determined by the Board in accordance with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and/or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783" w:right="339" w:bottom="1440" w:gutter="0" w:footer="0" w:header="0"/>
        </w:sectPr>
      </w:pPr>
    </w:p>
    <w:bookmarkStart w:id="15" w:name="page16"/>
    <w:bookmarkEnd w:id="15"/>
    <w:p>
      <w:pPr>
        <w:ind w:left="2900" w:hanging="300"/>
        <w:spacing w:after="0"/>
        <w:tabs>
          <w:tab w:leader="none" w:pos="2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outstanding awards, in whole or in part, to be surrendered to the Company by the holder, and to be</w:t>
      </w:r>
    </w:p>
    <w:p>
      <w:pPr>
        <w:spacing w:after="0" w:line="49" w:lineRule="exact"/>
        <w:rPr>
          <w:rFonts w:ascii="Times New Roman" w:cs="Times New Roman" w:eastAsia="Times New Roman" w:hAnsi="Times New Roman"/>
          <w:sz w:val="18"/>
          <w:szCs w:val="18"/>
          <w:color w:val="auto"/>
        </w:rPr>
      </w:pPr>
    </w:p>
    <w:p>
      <w:pPr>
        <w:jc w:val="both"/>
        <w:ind w:left="29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cancelled by the Company, and to provide for the holder to receive (i) a cash payment in an amount equal to (A) in the case of an option or an SAR, the aggregate number of shares of Common</w:t>
      </w:r>
    </w:p>
    <w:p>
      <w:pPr>
        <w:spacing w:after="0" w:line="1" w:lineRule="exact"/>
        <w:rPr>
          <w:rFonts w:ascii="Times New Roman" w:cs="Times New Roman" w:eastAsia="Times New Roman" w:hAnsi="Times New Roman"/>
          <w:sz w:val="18"/>
          <w:szCs w:val="18"/>
          <w:color w:val="auto"/>
        </w:rPr>
      </w:pPr>
    </w:p>
    <w:p>
      <w:pPr>
        <w:jc w:val="both"/>
        <w:ind w:left="29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then subject to the portion of such option or SAR surrendered, whether or not vested or exercisable, multiplied by the excess, if any, of the Fair Market Value of a share of Common Stock as of the date of</w:t>
      </w:r>
    </w:p>
    <w:p>
      <w:pPr>
        <w:spacing w:after="0" w:line="1" w:lineRule="exact"/>
        <w:rPr>
          <w:rFonts w:ascii="Times New Roman" w:cs="Times New Roman" w:eastAsia="Times New Roman" w:hAnsi="Times New Roman"/>
          <w:sz w:val="18"/>
          <w:szCs w:val="18"/>
          <w:color w:val="auto"/>
        </w:rPr>
      </w:pPr>
    </w:p>
    <w:p>
      <w:pPr>
        <w:jc w:val="both"/>
        <w:ind w:left="29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Control, over the purchase price or base price per share of Common Stock subject to such option or SAR, (B) in the case of a Stock Award or a Performance Award denominated in shares of</w:t>
      </w:r>
    </w:p>
    <w:p>
      <w:pPr>
        <w:spacing w:after="0" w:line="1" w:lineRule="exact"/>
        <w:rPr>
          <w:rFonts w:ascii="Times New Roman" w:cs="Times New Roman" w:eastAsia="Times New Roman" w:hAnsi="Times New Roman"/>
          <w:sz w:val="18"/>
          <w:szCs w:val="18"/>
          <w:color w:val="auto"/>
        </w:rPr>
      </w:pPr>
    </w:p>
    <w:p>
      <w:pPr>
        <w:jc w:val="both"/>
        <w:ind w:left="29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the number of shares of Common Stock then subject to the portion of such award surrendered to the extent the Performance Measures applicable to such award have been satisfied or are</w:t>
      </w:r>
    </w:p>
    <w:p>
      <w:pPr>
        <w:spacing w:after="0" w:line="1" w:lineRule="exact"/>
        <w:rPr>
          <w:rFonts w:ascii="Times New Roman" w:cs="Times New Roman" w:eastAsia="Times New Roman" w:hAnsi="Times New Roman"/>
          <w:sz w:val="18"/>
          <w:szCs w:val="18"/>
          <w:color w:val="auto"/>
        </w:rPr>
      </w:pPr>
    </w:p>
    <w:p>
      <w:pPr>
        <w:jc w:val="both"/>
        <w:ind w:left="29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deemed satisfied pursuant to </w:t>
      </w:r>
      <w:r>
        <w:rPr>
          <w:rFonts w:ascii="Times New Roman" w:cs="Times New Roman" w:eastAsia="Times New Roman" w:hAnsi="Times New Roman"/>
          <w:sz w:val="18"/>
          <w:szCs w:val="18"/>
          <w:u w:val="single" w:color="auto"/>
          <w:color w:val="auto"/>
        </w:rPr>
        <w:t>Section 5.8(a)(1)</w:t>
      </w:r>
      <w:r>
        <w:rPr>
          <w:rFonts w:ascii="Times New Roman" w:cs="Times New Roman" w:eastAsia="Times New Roman" w:hAnsi="Times New Roman"/>
          <w:sz w:val="18"/>
          <w:szCs w:val="18"/>
          <w:color w:val="auto"/>
        </w:rPr>
        <w:t>, whether or not vested, multiplied by the Fair Market Value of a share of Common Stock as of the date of the Change in Control, and (C) in the case of a Performance</w:t>
      </w:r>
    </w:p>
    <w:p>
      <w:pPr>
        <w:spacing w:after="0" w:line="1" w:lineRule="exact"/>
        <w:rPr>
          <w:rFonts w:ascii="Times New Roman" w:cs="Times New Roman" w:eastAsia="Times New Roman" w:hAnsi="Times New Roman"/>
          <w:sz w:val="18"/>
          <w:szCs w:val="18"/>
          <w:color w:val="auto"/>
        </w:rPr>
      </w:pPr>
    </w:p>
    <w:p>
      <w:pPr>
        <w:jc w:val="both"/>
        <w:ind w:left="29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denominated in cash, the value of the Performance Award then subject to the portion of such award surrendered to the extent the Performance Measures applicable to such award have been satisfied</w:t>
      </w:r>
    </w:p>
    <w:p>
      <w:pPr>
        <w:spacing w:after="0" w:line="1" w:lineRule="exact"/>
        <w:rPr>
          <w:rFonts w:ascii="Times New Roman" w:cs="Times New Roman" w:eastAsia="Times New Roman" w:hAnsi="Times New Roman"/>
          <w:sz w:val="18"/>
          <w:szCs w:val="18"/>
          <w:color w:val="auto"/>
        </w:rPr>
      </w:pPr>
    </w:p>
    <w:p>
      <w:pPr>
        <w:jc w:val="both"/>
        <w:ind w:left="2920"/>
        <w:spacing w:after="0" w:line="29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or are deemed satisfied pursuant to </w:t>
      </w:r>
      <w:r>
        <w:rPr>
          <w:rFonts w:ascii="Times New Roman" w:cs="Times New Roman" w:eastAsia="Times New Roman" w:hAnsi="Times New Roman"/>
          <w:sz w:val="18"/>
          <w:szCs w:val="18"/>
          <w:u w:val="single" w:color="auto"/>
          <w:color w:val="auto"/>
        </w:rPr>
        <w:t>Section 5.8(a)(1)</w:t>
      </w:r>
      <w:r>
        <w:rPr>
          <w:rFonts w:ascii="Times New Roman" w:cs="Times New Roman" w:eastAsia="Times New Roman" w:hAnsi="Times New Roman"/>
          <w:sz w:val="18"/>
          <w:szCs w:val="18"/>
          <w:color w:val="auto"/>
        </w:rPr>
        <w:t>; (ii) shares of capital stock of the corporation resulting from or succeeding to the business of the Company pursuant to such Change in Control, or a parent corporation thereof, having a fair market value not less than the amount determined under clause</w:t>
      </w:r>
    </w:p>
    <w:p>
      <w:pPr>
        <w:ind w:left="29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above; or (iii) a combination of the payment of cash pursuant to clause (i) above and the issuance of shares pursuant to clause (ii) above.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(b)For purposes of this Plan, a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the occurrence of any of the following events:</w:t>
      </w:r>
    </w:p>
    <w:p>
      <w:pPr>
        <w:spacing w:after="0" w:line="252" w:lineRule="exact"/>
        <w:rPr>
          <w:sz w:val="20"/>
          <w:szCs w:val="20"/>
          <w:color w:val="auto"/>
        </w:rPr>
      </w:pPr>
    </w:p>
    <w:p>
      <w:pPr>
        <w:ind w:left="2920" w:hanging="320"/>
        <w:spacing w:after="0"/>
        <w:tabs>
          <w:tab w:leader="none" w:pos="29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by any individual, entity or group, within the meaning of Section 13(d)(3) or 14(d)(2) of</w:t>
      </w:r>
    </w:p>
    <w:p>
      <w:pPr>
        <w:spacing w:after="0" w:line="49" w:lineRule="exact"/>
        <w:rPr>
          <w:rFonts w:ascii="Times New Roman" w:cs="Times New Roman" w:eastAsia="Times New Roman" w:hAnsi="Times New Roman"/>
          <w:sz w:val="18"/>
          <w:szCs w:val="18"/>
          <w:color w:val="auto"/>
        </w:rPr>
      </w:pPr>
    </w:p>
    <w:p>
      <w:pPr>
        <w:jc w:val="both"/>
        <w:ind w:left="29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Act (a “Person”), of beneficial ownership (within the meaning of Rule 13d-3 promulgated under the Exchange Act) of more than 40% of either (i) the then outstanding shares of Common Stock of</w:t>
      </w:r>
    </w:p>
    <w:p>
      <w:pPr>
        <w:spacing w:after="0" w:line="1" w:lineRule="exact"/>
        <w:rPr>
          <w:rFonts w:ascii="Times New Roman" w:cs="Times New Roman" w:eastAsia="Times New Roman" w:hAnsi="Times New Roman"/>
          <w:sz w:val="18"/>
          <w:szCs w:val="18"/>
          <w:color w:val="auto"/>
        </w:rPr>
      </w:pPr>
    </w:p>
    <w:p>
      <w:pPr>
        <w:jc w:val="both"/>
        <w:ind w:left="29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(the “</w:t>
      </w:r>
      <w:r>
        <w:rPr>
          <w:rFonts w:ascii="Times New Roman" w:cs="Times New Roman" w:eastAsia="Times New Roman" w:hAnsi="Times New Roman"/>
          <w:sz w:val="18"/>
          <w:szCs w:val="18"/>
          <w:u w:val="single" w:color="auto"/>
          <w:color w:val="auto"/>
        </w:rPr>
        <w:t>Outstanding Common Stock</w:t>
      </w:r>
      <w:r>
        <w:rPr>
          <w:rFonts w:ascii="Times New Roman" w:cs="Times New Roman" w:eastAsia="Times New Roman" w:hAnsi="Times New Roman"/>
          <w:sz w:val="18"/>
          <w:szCs w:val="18"/>
          <w:color w:val="auto"/>
        </w:rPr>
        <w:t>”) or (ii) the combined voting power of the then outstanding voting securities of the Company entitled to vote generally in the election of directors (the</w:t>
      </w:r>
    </w:p>
    <w:p>
      <w:pPr>
        <w:spacing w:after="0" w:line="1" w:lineRule="exact"/>
        <w:rPr>
          <w:rFonts w:ascii="Times New Roman" w:cs="Times New Roman" w:eastAsia="Times New Roman" w:hAnsi="Times New Roman"/>
          <w:sz w:val="18"/>
          <w:szCs w:val="18"/>
          <w:color w:val="auto"/>
        </w:rPr>
      </w:pPr>
    </w:p>
    <w:p>
      <w:pPr>
        <w:jc w:val="both"/>
        <w:ind w:left="29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Outstanding Voting 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excluding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the following: (A) any acquisition directly from the Company, other than an acquisition by virtue of the exercise, exchange or conversion of any</w:t>
      </w:r>
    </w:p>
    <w:p>
      <w:pPr>
        <w:spacing w:after="0" w:line="1" w:lineRule="exact"/>
        <w:rPr>
          <w:rFonts w:ascii="Times New Roman" w:cs="Times New Roman" w:eastAsia="Times New Roman" w:hAnsi="Times New Roman"/>
          <w:sz w:val="18"/>
          <w:szCs w:val="18"/>
          <w:color w:val="auto"/>
        </w:rPr>
      </w:pPr>
    </w:p>
    <w:p>
      <w:pPr>
        <w:jc w:val="both"/>
        <w:ind w:left="29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Convertible Securities unless such securities were themselves acquired directly from the Company; (B) any acquisition by the Company; (C) any acquisition by T. Kendall Hunt or any of his affiliates; or (D)</w:t>
      </w:r>
    </w:p>
    <w:p>
      <w:pPr>
        <w:spacing w:after="0" w:line="1" w:lineRule="exact"/>
        <w:rPr>
          <w:rFonts w:ascii="Times New Roman" w:cs="Times New Roman" w:eastAsia="Times New Roman" w:hAnsi="Times New Roman"/>
          <w:sz w:val="18"/>
          <w:szCs w:val="18"/>
          <w:color w:val="auto"/>
        </w:rPr>
      </w:pPr>
    </w:p>
    <w:p>
      <w:pPr>
        <w:ind w:left="29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by any Person pursuant to a transaction which complies with clauses (1) and (2) of the exception contained in the definition of “Company Transaction;”</w:t>
      </w:r>
    </w:p>
    <w:p>
      <w:pPr>
        <w:spacing w:after="0" w:line="175" w:lineRule="exact"/>
        <w:rPr>
          <w:rFonts w:ascii="Times New Roman" w:cs="Times New Roman" w:eastAsia="Times New Roman" w:hAnsi="Times New Roman"/>
          <w:sz w:val="18"/>
          <w:szCs w:val="18"/>
          <w:color w:val="auto"/>
        </w:rPr>
      </w:pPr>
    </w:p>
    <w:p>
      <w:pPr>
        <w:jc w:val="both"/>
        <w:ind w:left="2920" w:hanging="320"/>
        <w:spacing w:after="0" w:line="292" w:lineRule="auto"/>
        <w:tabs>
          <w:tab w:leader="none" w:pos="294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any period of 12 consecutive months, a change in the composition of the Board such that the individuals who, immediately prior to such period, constituted the Board (such Board shall be hereinafter referred to as the “</w:t>
      </w:r>
      <w:r>
        <w:rPr>
          <w:rFonts w:ascii="Times New Roman" w:cs="Times New Roman" w:eastAsia="Times New Roman" w:hAnsi="Times New Roman"/>
          <w:sz w:val="18"/>
          <w:szCs w:val="18"/>
          <w:u w:val="single" w:color="auto"/>
          <w:color w:val="auto"/>
        </w:rPr>
        <w:t>Incumbent Board</w:t>
      </w:r>
      <w:r>
        <w:rPr>
          <w:rFonts w:ascii="Times New Roman" w:cs="Times New Roman" w:eastAsia="Times New Roman" w:hAnsi="Times New Roman"/>
          <w:sz w:val="18"/>
          <w:szCs w:val="18"/>
          <w:color w:val="auto"/>
        </w:rPr>
        <w:t>”) cease for any reason to constitute at least a majority of the</w:t>
      </w:r>
    </w:p>
    <w:p>
      <w:pPr>
        <w:jc w:val="both"/>
        <w:ind w:left="29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Board;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purposes hereof, that any individual who becomes a member of the Board during such period, whose election, or nomination for election by the Company’s stockholders, was</w:t>
      </w:r>
    </w:p>
    <w:p>
      <w:pPr>
        <w:spacing w:after="0" w:line="1" w:lineRule="exact"/>
        <w:rPr>
          <w:rFonts w:ascii="Times New Roman" w:cs="Times New Roman" w:eastAsia="Times New Roman" w:hAnsi="Times New Roman"/>
          <w:sz w:val="18"/>
          <w:szCs w:val="18"/>
          <w:color w:val="auto"/>
        </w:rPr>
      </w:pPr>
    </w:p>
    <w:p>
      <w:pPr>
        <w:jc w:val="both"/>
        <w:ind w:left="29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by a vote of at least a majority of those individuals who are members of the Board and who were also members of the Incumbent Board (or deemed to be such pursuant to this proviso) shall be</w:t>
      </w:r>
    </w:p>
    <w:p>
      <w:pPr>
        <w:spacing w:after="0" w:line="1" w:lineRule="exact"/>
        <w:rPr>
          <w:rFonts w:ascii="Times New Roman" w:cs="Times New Roman" w:eastAsia="Times New Roman" w:hAnsi="Times New Roman"/>
          <w:sz w:val="18"/>
          <w:szCs w:val="18"/>
          <w:color w:val="auto"/>
        </w:rPr>
      </w:pPr>
    </w:p>
    <w:p>
      <w:pPr>
        <w:ind w:left="29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considered as though such individual were a member of the Incumbent Board; but,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any such individual whose initial assumption of office occurs as a result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80"/>
          </w:cols>
          <w:pgMar w:left="980" w:top="783" w:right="339" w:bottom="1440" w:gutter="0" w:footer="0" w:header="0"/>
        </w:sectPr>
      </w:pPr>
    </w:p>
    <w:bookmarkStart w:id="16" w:name="page17"/>
    <w:bookmarkEnd w:id="16"/>
    <w:p>
      <w:pPr>
        <w:jc w:val="both"/>
        <w:ind w:left="3580"/>
        <w:spacing w:after="0" w:line="302" w:lineRule="auto"/>
        <w:rPr>
          <w:sz w:val="20"/>
          <w:szCs w:val="20"/>
          <w:color w:val="auto"/>
        </w:rPr>
      </w:pPr>
      <w:r>
        <w:rPr>
          <w:rFonts w:ascii="Times New Roman" w:cs="Times New Roman" w:eastAsia="Times New Roman" w:hAnsi="Times New Roman"/>
          <w:sz w:val="18"/>
          <w:szCs w:val="18"/>
          <w:color w:val="auto"/>
        </w:rPr>
        <w:t>of either an actual or threatened election contest (as such terms are used in Rule 14a-11 of Regulation 14A promulgated under the Exchange Act) or other actual or threatened solicitation of proxies or consents by or on behalf of a Person other than the Board shall not be so considered as a member of the Incumbent Board;</w:t>
      </w:r>
    </w:p>
    <w:p>
      <w:pPr>
        <w:spacing w:after="0" w:line="173" w:lineRule="exact"/>
        <w:rPr>
          <w:sz w:val="20"/>
          <w:szCs w:val="20"/>
          <w:color w:val="auto"/>
        </w:rPr>
      </w:pPr>
    </w:p>
    <w:p>
      <w:pPr>
        <w:ind w:left="3540" w:hanging="280"/>
        <w:spacing w:after="0"/>
        <w:tabs>
          <w:tab w:leader="none" w:pos="3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Transaction; or</w:t>
      </w:r>
    </w:p>
    <w:p>
      <w:pPr>
        <w:spacing w:after="0" w:line="265" w:lineRule="exact"/>
        <w:rPr>
          <w:rFonts w:ascii="Times New Roman" w:cs="Times New Roman" w:eastAsia="Times New Roman" w:hAnsi="Times New Roman"/>
          <w:sz w:val="18"/>
          <w:szCs w:val="18"/>
          <w:color w:val="auto"/>
        </w:rPr>
      </w:pPr>
    </w:p>
    <w:p>
      <w:pPr>
        <w:jc w:val="both"/>
        <w:ind w:left="3580" w:hanging="320"/>
        <w:spacing w:after="0" w:line="289" w:lineRule="auto"/>
        <w:tabs>
          <w:tab w:leader="none" w:pos="3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by the stockholders of the Company of a complete liquidation or dissolution of the Company (other than to an entity pursuant to a transaction which would comply with clauses (1) and (2)</w:t>
      </w:r>
    </w:p>
    <w:p>
      <w:pPr>
        <w:spacing w:after="0" w:line="1" w:lineRule="exact"/>
        <w:rPr>
          <w:rFonts w:ascii="Times New Roman" w:cs="Times New Roman" w:eastAsia="Times New Roman" w:hAnsi="Times New Roman"/>
          <w:sz w:val="18"/>
          <w:szCs w:val="18"/>
          <w:color w:val="auto"/>
        </w:rPr>
      </w:pPr>
    </w:p>
    <w:p>
      <w:pPr>
        <w:ind w:left="358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exception contained in the definition of “Company Transaction”), assuming for this purpose that such transaction would be a Company Transaction;</w:t>
      </w:r>
    </w:p>
    <w:p>
      <w:pPr>
        <w:spacing w:after="0" w:line="17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the definition of “Change of Control” and “Company Transaction,” a series of transactions undertaken with a common purpose shall be treated as a single transaction that begins at the consummation of the first transaction in the series and ends at the consummation of the last transaction in the series;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with respect to any nonqualified deferred compensation that becomes payable on account of the Change in Control, the transaction or event described in clause (1), (2), (3) or (4) also constitutes a “change in control event,” as defined in Treasury Regulation §1.409A-3(i)(5) if required in order for the payment not to violate Section 409A of the Code.</w:t>
      </w:r>
    </w:p>
    <w:p>
      <w:pPr>
        <w:spacing w:after="0" w:line="173"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8"/>
          <w:szCs w:val="18"/>
          <w:b w:val="1"/>
          <w:bCs w:val="1"/>
          <w:color w:val="auto"/>
        </w:rPr>
        <w:t xml:space="preserve">5.9 </w:t>
      </w:r>
      <w:r>
        <w:rPr>
          <w:rFonts w:ascii="Times New Roman" w:cs="Times New Roman" w:eastAsia="Times New Roman" w:hAnsi="Times New Roman"/>
          <w:sz w:val="18"/>
          <w:szCs w:val="18"/>
          <w:b w:val="1"/>
          <w:bCs w:val="1"/>
          <w:u w:val="single" w:color="auto"/>
          <w:color w:val="auto"/>
        </w:rPr>
        <w:t>Deferrals.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Committee may determine that the delivery of shares of Common Stock or the payment of cash, or a combination thereof, upon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settlement of all or a portion of any award made hereunder shall be deferred, or the Committee may, in its sole discretion, approve deferral elections made by holders of awards. Deferrals shall be for such periods and upon such terms as the Committee may determine in its sole discretion, subject to the requirements of Section 409A of the Code.</w:t>
      </w:r>
    </w:p>
    <w:p>
      <w:pPr>
        <w:spacing w:after="0" w:line="180"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8"/>
          <w:szCs w:val="18"/>
          <w:b w:val="1"/>
          <w:bCs w:val="1"/>
          <w:color w:val="auto"/>
        </w:rPr>
        <w:t xml:space="preserve">5.10 </w:t>
      </w:r>
      <w:r>
        <w:rPr>
          <w:rFonts w:ascii="Times New Roman" w:cs="Times New Roman" w:eastAsia="Times New Roman" w:hAnsi="Times New Roman"/>
          <w:sz w:val="18"/>
          <w:szCs w:val="18"/>
          <w:b w:val="1"/>
          <w:bCs w:val="1"/>
          <w:u w:val="single" w:color="auto"/>
          <w:color w:val="auto"/>
        </w:rPr>
        <w:t>No Right of Participation, Employment or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otherwise set forth in an employment agreement, no person shall have any right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participate in this Plan. Neither this Plan nor any award made hereunder shall confer upon any person any right to continued employment by or service with the Company, any Subsidiary or any affiliate of the Company or affect in any manner the right of the Company, any Subsidiary or any affiliate of the Company to terminate the employment or service of any person at any time without liability hereunder.</w:t>
      </w:r>
    </w:p>
    <w:p>
      <w:pPr>
        <w:spacing w:after="0" w:line="184" w:lineRule="exact"/>
        <w:rPr>
          <w:sz w:val="20"/>
          <w:szCs w:val="20"/>
          <w:color w:val="auto"/>
        </w:rPr>
      </w:pPr>
    </w:p>
    <w:p>
      <w:pPr>
        <w:jc w:val="both"/>
        <w:ind w:firstLine="5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5.11 </w:t>
      </w:r>
      <w:r>
        <w:rPr>
          <w:rFonts w:ascii="Times New Roman" w:cs="Times New Roman" w:eastAsia="Times New Roman" w:hAnsi="Times New Roman"/>
          <w:sz w:val="18"/>
          <w:szCs w:val="18"/>
          <w:b w:val="1"/>
          <w:bCs w:val="1"/>
          <w:u w:val="single" w:color="auto"/>
          <w:color w:val="auto"/>
        </w:rPr>
        <w:t>Rights as Stockholder.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person shall have any right as a stockholder of the Company with respect to any shares of Common Stock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equity security of the Company which is subject to an award hereunder unless and until such person becomes a stockholder of record with respect to such shares of Common Stock or equity security.</w:t>
      </w:r>
    </w:p>
    <w:p>
      <w:pPr>
        <w:spacing w:after="0" w:line="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8"/>
          <w:szCs w:val="18"/>
          <w:b w:val="1"/>
          <w:bCs w:val="1"/>
          <w:color w:val="auto"/>
        </w:rPr>
        <w:t xml:space="preserve">5.12 </w:t>
      </w:r>
      <w:r>
        <w:rPr>
          <w:rFonts w:ascii="Times New Roman" w:cs="Times New Roman" w:eastAsia="Times New Roman" w:hAnsi="Times New Roman"/>
          <w:sz w:val="18"/>
          <w:szCs w:val="18"/>
          <w:b w:val="1"/>
          <w:bCs w:val="1"/>
          <w:u w:val="single" w:color="auto"/>
          <w:color w:val="auto"/>
        </w:rPr>
        <w:t>Designation of Beneficiary.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extent permitted by the Company, a holder of an award may file with the Company a written designation of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more persons as such holder’s beneficiary or beneficiaries (both primary and contingent) in the event of the holder’s death or incapacity. To the extent an outstanding option or SAR granted hereunder is exercisable, such beneficiary or beneficiaries shall be entitled to exercise such option or SAR pursuant to procedures prescribed by the Company. Each beneficiary designation shall become effective only when filed in writing with the Company during the holder’s lifetime on a form prescribed by the Company. The spouse of a married holder domiciled in a community property jurisdiction shall join in any designation of a beneficiary other than such spouse. The filing with the Company of a new beneficiary designation shall cancel all previously filed beneficiary designations. If a holder fails to designate a beneficiary, or if all designated beneficiaries of a holder predecease the holder, then each outstanding award held by such holder, to the extent vested or exercisable, shall be payable to or may be exercised by such holder’s executor, administrator, legal representative or similar person.</w:t>
      </w:r>
    </w:p>
    <w:p>
      <w:pPr>
        <w:spacing w:after="0" w:line="173"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8"/>
          <w:szCs w:val="18"/>
          <w:b w:val="1"/>
          <w:bCs w:val="1"/>
          <w:color w:val="auto"/>
        </w:rPr>
        <w:t xml:space="preserve">5.13 </w:t>
      </w:r>
      <w:r>
        <w:rPr>
          <w:rFonts w:ascii="Times New Roman" w:cs="Times New Roman" w:eastAsia="Times New Roman" w:hAnsi="Times New Roman"/>
          <w:sz w:val="18"/>
          <w:szCs w:val="18"/>
          <w:b w:val="1"/>
          <w:bCs w:val="1"/>
          <w:u w:val="single" w:color="auto"/>
          <w:color w:val="auto"/>
        </w:rPr>
        <w:t>Awards Subject to Clawback.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awards granted under this Plan and any cash payment or shares of Common Stock delivered pursuant to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award are subject to forfeiture, recovery by the Company or other action pursuant to the applicable award Agreement or any clawback or recoupment policy which the Company may adopt from time to time, including without limitation any such policy which the Company may be required to adopt under the Dodd-Frank Wall Street Reform and Consumer Protection Act and implementing rules and regulations thereunder, or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783" w:right="339" w:bottom="1440" w:gutter="0" w:footer="0" w:header="0"/>
        </w:sectPr>
      </w:pPr>
    </w:p>
    <w:bookmarkStart w:id="17" w:name="page18"/>
    <w:bookmarkEnd w:id="17"/>
    <w:p>
      <w:pPr>
        <w:jc w:val="both"/>
        <w:spacing w:after="0" w:line="307" w:lineRule="auto"/>
        <w:rPr>
          <w:sz w:val="20"/>
          <w:szCs w:val="20"/>
          <w:color w:val="auto"/>
        </w:rPr>
      </w:pPr>
      <w:r>
        <w:rPr>
          <w:rFonts w:ascii="Times New Roman" w:cs="Times New Roman" w:eastAsia="Times New Roman" w:hAnsi="Times New Roman"/>
          <w:sz w:val="18"/>
          <w:szCs w:val="18"/>
          <w:b w:val="1"/>
          <w:bCs w:val="1"/>
          <w:color w:val="auto"/>
        </w:rPr>
        <w:t xml:space="preserve">5.14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Plan, each award hereunder and the related Agreement, and all determinations made and actions taken pursuant thereto,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extent not otherwise governed by the Code or the laws of the United States, shall be governed by the laws of the State of Delaware and construed in accordance therewith without giving effect to principles of conflicts of laws.</w:t>
      </w:r>
    </w:p>
    <w:p>
      <w:pPr>
        <w:spacing w:after="0" w:line="17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8"/>
          <w:szCs w:val="18"/>
          <w:b w:val="1"/>
          <w:bCs w:val="1"/>
          <w:color w:val="auto"/>
        </w:rPr>
        <w:t xml:space="preserve">5.15 </w:t>
      </w:r>
      <w:r>
        <w:rPr>
          <w:rFonts w:ascii="Times New Roman" w:cs="Times New Roman" w:eastAsia="Times New Roman" w:hAnsi="Times New Roman"/>
          <w:sz w:val="18"/>
          <w:szCs w:val="18"/>
          <w:b w:val="1"/>
          <w:bCs w:val="1"/>
          <w:u w:val="single" w:color="auto"/>
          <w:color w:val="auto"/>
        </w:rPr>
        <w:t>Foreign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amending this Plan, the Committee may grant awards to eligible persons who are foreign nationals and/or reside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outside of the United States on such terms and conditions different from those specified in this Plan as may in the judgment of the Committee be necessary or desirable to foster and promote achievement of the purposes of this Plan and, in furtherance of such purposes the Committee may make such modifications, amendments, procedures, subplans and the like as may be necessary or advisable to comply with provisions of laws in other countries or jurisdictions in which the Company or its Subsidiaries operates or has employees.</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Approved by the Board of Directors on April 2, 2026</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Approved by the Stockholders of the Company on June 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sectPr>
      <w:pgSz w:w="11900" w:h="16838" w:orient="portrait"/>
      <w:cols w:equalWidth="0" w:num="1">
        <w:col w:w="11240"/>
      </w:cols>
      <w:pgMar w:left="320" w:top="77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2"/>
    </w:lvl>
  </w:abstractNum>
  <w:abstractNum w:abstractNumId="3">
    <w:nsid w:val="12200854"/>
    <w:multiLevelType w:val="hybridMultilevel"/>
    <w:lvl w:ilvl="0">
      <w:lvlJc w:val="left"/>
      <w:lvlText w:val="%1."/>
      <w:numFmt w:val="decimal"/>
      <w:start w:val="3"/>
    </w:lvl>
  </w:abstractNum>
  <w:abstractNum w:abstractNumId="4">
    <w:nsid w:val="4DB127F8"/>
    <w:multiLevelType w:val="hybridMultilevel"/>
    <w:lvl w:ilvl="0">
      <w:lvlJc w:val="left"/>
      <w:lvlText w:val="%1."/>
      <w:numFmt w:val="decimal"/>
      <w:start w:val="4"/>
    </w:lvl>
  </w:abstractNum>
  <w:abstractNum w:abstractNumId="5">
    <w:nsid w:val="216231B"/>
    <w:multiLevelType w:val="hybridMultilevel"/>
    <w:lvl w:ilvl="0">
      <w:lvlJc w:val="left"/>
      <w:lvlText w:val="%1."/>
      <w:numFmt w:val="decimal"/>
      <w:start w:val="5"/>
    </w:lvl>
  </w:abstractNum>
  <w:abstractNum w:abstractNumId="6">
    <w:nsid w:val="1F16E9E8"/>
    <w:multiLevelType w:val="hybridMultilevel"/>
    <w:lvl w:ilvl="0">
      <w:lvlJc w:val="left"/>
      <w:lvlText w:val="(%1)"/>
      <w:numFmt w:val="lowerLetter"/>
      <w:start w:val="4"/>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2"/>
    </w:lvl>
  </w:abstractNum>
  <w:abstractNum w:abstractNumId="9">
    <w:nsid w:val="140E0F76"/>
    <w:multiLevelType w:val="hybridMultilevel"/>
    <w:lvl w:ilvl="0">
      <w:lvlJc w:val="left"/>
      <w:lvlText w:val="(%1)"/>
      <w:numFmt w:val="lowerRoman"/>
      <w:start w:val="3"/>
    </w:lvl>
  </w:abstractNum>
  <w:abstractNum w:abstractNumId="10">
    <w:nsid w:val="3352255A"/>
    <w:multiLevelType w:val="hybridMultilevel"/>
    <w:lvl w:ilvl="0">
      <w:lvlJc w:val="left"/>
      <w:lvlText w:val="%1."/>
      <w:numFmt w:val="upperLetter"/>
      <w:start w:val="6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3"/>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2026-06-05T15:11:45Z</dcterms:created>
  <dcterms:modified xsi:type="dcterms:W3CDTF">2026-06-05T15:11:45Z</dcterms:modified>
</cp:coreProperties>
</file>