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primary_doc.xml.htm"/>
      <w:bookmarkStart w:id="1" w:name="ksprimary_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Martell Jorge Garcia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 MARINA PARK DRIVE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UNIT 1410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BOSTON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02210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OneSpan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OSPN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Financial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05/14/2026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23"/>
        <w:gridCol w:w="902"/>
        <w:gridCol w:w="771"/>
        <w:gridCol w:w="599"/>
        <w:gridCol w:w="350"/>
        <w:gridCol w:w="850"/>
        <w:gridCol w:w="459"/>
        <w:gridCol w:w="756"/>
        <w:gridCol w:w="1169"/>
        <w:gridCol w:w="1002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2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6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2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05/14/2026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1,133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111,351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05/14/2026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333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12.18</w:t>
            </w:r>
            <w:r>
              <w:rPr/>
              <w:t xml:space="preserve"> 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111,018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96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276"/>
        <w:gridCol w:w="60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96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05/14/2026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1,133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1,133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2,265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restricted stock unit represents a contingent right to receive one share of OSPN common stock.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restricted stock units vest over three years starting on May 14, 2024, with one-third of the shares vesting on May 14, 2025 and one-sixth of the shares vesting every six months thereafter.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Lara Mataac,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05/14/2026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43565" TargetMode="External"/><Relationship Id="rId5" Type="http://schemas.openxmlformats.org/officeDocument/2006/relationships/hyperlink" Target="http://www.sec.gov/cgi-bin/browse-edgar?action=getcompany&amp;CIK=000104477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636</Words>
  <Characters>3411</Characters>
  <CharactersWithSpaces>3970</CharactersWithSpaces>
  <Paragraphs>117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