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120" w:after="283"/>
        <w:jc w:val="center"/>
        <w:rPr>
          <w:rFonts w:ascii="Times New Roman;serif" w:hAnsi="Times New Roman;serif"/>
          <w:b/>
          <w:color w:val="000000"/>
          <w:sz w:val="26"/>
        </w:rPr>
      </w:pPr>
      <w:r>
        <w:rPr>
          <w:rFonts w:ascii="Times New Roman;serif" w:hAnsi="Times New Roman;serif"/>
          <w:b/>
          <w:color w:val="000000"/>
          <w:sz w:val="2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(Mark One)</w:t>
      </w:r>
    </w:p>
    <w:tbl>
      <w:tblPr>
        <w:tblW w:w="9026" w:type="dxa"/>
        <w:jc w:val="left"/>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16"/>
              </w:rPr>
            </w:pPr>
            <w:r>
              <w:rPr>
                <w:rFonts w:ascii="Wingdings;sans-serif" w:hAnsi="Wingdings;sans-serif"/>
                <w:b/>
                <w:color w:val="000000"/>
                <w:sz w:val="16"/>
              </w:rPr>
              <w:t>x</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FOR THE QUARTERLY PERIOD ENDED JUNE 30, 2026</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16"/>
              </w:rPr>
            </w:pPr>
            <w:r>
              <w:rPr>
                <w:rFonts w:ascii="Wingdings;sans-serif" w:hAnsi="Wingdings;sans-serif"/>
                <w:b/>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FOR THE TRANSITION PERIOD FROM _______ TO</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Commission file number 000-24389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120" w:after="283"/>
        <w:jc w:val="center"/>
        <w:rPr>
          <w:rFonts w:ascii="Times New Roman;serif" w:hAnsi="Times New Roman;serif"/>
          <w:b/>
          <w:color w:val="000000"/>
          <w:sz w:val="26"/>
        </w:rPr>
      </w:pPr>
      <w:r>
        <w:rPr>
          <w:rFonts w:ascii="Times New Roman;serif" w:hAnsi="Times New Roman;serif"/>
          <w:b/>
          <w:color w:val="000000"/>
          <w:sz w:val="26"/>
        </w:rPr>
        <w:t>OneSpan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tbl>
      <w:tblPr>
        <w:tblW w:w="3913" w:type="dxa"/>
        <w:jc w:val="left"/>
        <w:tblInd w:w="0" w:type="dxa"/>
        <w:tblLayout w:type="fixed"/>
        <w:tblCellMar>
          <w:top w:w="28" w:type="dxa"/>
          <w:left w:w="28" w:type="dxa"/>
          <w:bottom w:w="28" w:type="dxa"/>
          <w:right w:w="28" w:type="dxa"/>
        </w:tblCellMar>
      </w:tblPr>
      <w:tblGrid>
        <w:gridCol w:w="879"/>
        <w:gridCol w:w="771"/>
        <w:gridCol w:w="779"/>
        <w:gridCol w:w="432"/>
        <w:gridCol w:w="432"/>
        <w:gridCol w:w="620"/>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36-4169320</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1 Marina Park Drive, Unit 1410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Boston, Massachusetts 02210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(312) 766-4001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628" w:type="dxa"/>
        <w:jc w:val="left"/>
        <w:tblInd w:w="0" w:type="dxa"/>
        <w:tblLayout w:type="fixed"/>
        <w:tblCellMar>
          <w:top w:w="28" w:type="dxa"/>
          <w:left w:w="28" w:type="dxa"/>
          <w:bottom w:w="28" w:type="dxa"/>
          <w:right w:w="28" w:type="dxa"/>
        </w:tblCellMar>
      </w:tblPr>
      <w:tblGrid>
        <w:gridCol w:w="1138"/>
        <w:gridCol w:w="1002"/>
        <w:gridCol w:w="1010"/>
        <w:gridCol w:w="109"/>
        <w:gridCol w:w="109"/>
        <w:gridCol w:w="109"/>
        <w:gridCol w:w="359"/>
        <w:gridCol w:w="359"/>
        <w:gridCol w:w="361"/>
        <w:gridCol w:w="109"/>
        <w:gridCol w:w="109"/>
        <w:gridCol w:w="109"/>
        <w:gridCol w:w="804"/>
        <w:gridCol w:w="804"/>
        <w:gridCol w:w="1137"/>
      </w:tblGrid>
      <w:tr>
        <w:trPr/>
        <w:tc>
          <w:tcPr>
            <w:tcW w:w="113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OSPN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w:t>
            </w:r>
          </w:p>
        </w:tc>
      </w:tr>
    </w:tbl>
    <w:p>
      <w:pPr>
        <w:pStyle w:val="TextBody"/>
        <w:bidi w:val="0"/>
        <w:spacing w:lineRule="auto" w:line="288" w:before="120" w:after="283"/>
        <w:jc w:val="left"/>
        <w:rPr/>
      </w:pPr>
      <w:r>
        <w:rPr>
          <w:rFonts w:ascii="Times New Roman;serif" w:hAnsi="Times New Roman;serif"/>
          <w:b w:val="false"/>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4"/>
        </w:rPr>
        <w:t>x</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4"/>
        </w:rPr>
        <w:t>o</w:t>
      </w:r>
    </w:p>
    <w:p>
      <w:pPr>
        <w:pStyle w:val="TextBody"/>
        <w:bidi w:val="0"/>
        <w:spacing w:lineRule="auto" w:line="288" w:before="120" w:after="283"/>
        <w:jc w:val="left"/>
        <w:rPr/>
      </w:pPr>
      <w:r>
        <w:rPr>
          <w:rFonts w:ascii="Times New Roman;serif" w:hAnsi="Times New Roman;serif"/>
          <w:b w:val="false"/>
          <w:color w:val="000000"/>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4"/>
        </w:rPr>
        <w:t>x</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4"/>
        </w:rPr>
        <w:t>o</w:t>
      </w:r>
    </w:p>
    <w:p>
      <w:pPr>
        <w:pStyle w:val="TextBody"/>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070"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109"/>
        <w:gridCol w:w="109"/>
        <w:gridCol w:w="109"/>
        <w:gridCol w:w="559"/>
        <w:gridCol w:w="559"/>
        <w:gridCol w:w="562"/>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x</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o</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o</w:t>
            </w:r>
          </w:p>
        </w:tc>
      </w:tr>
    </w:tbl>
    <w:p>
      <w:pPr>
        <w:pStyle w:val="TextBody"/>
        <w:bidi w:val="0"/>
        <w:spacing w:lineRule="auto" w:line="288" w:before="120" w:after="283"/>
        <w:jc w:val="left"/>
        <w:rPr/>
      </w:pPr>
      <w:r>
        <w:rPr>
          <w:rFonts w:ascii="Times New Roman;serif" w:hAnsi="Times New Roman;serif"/>
          <w:b w:val="false"/>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4"/>
        </w:rPr>
        <w:t>o</w:t>
      </w:r>
    </w:p>
    <w:p>
      <w:pPr>
        <w:pStyle w:val="TextBody"/>
        <w:bidi w:val="0"/>
        <w:spacing w:lineRule="auto" w:line="288" w:before="120" w:after="283"/>
        <w:jc w:val="left"/>
        <w:rPr/>
      </w:pPr>
      <w:r>
        <w:rPr>
          <w:rFonts w:ascii="Times New Roman;serif" w:hAnsi="Times New Roman;serif"/>
          <w:b w:val="false"/>
          <w:color w:val="000000"/>
          <w:sz w:val="14"/>
        </w:rPr>
        <w:t xml:space="preserve">Indicate by check mark whether the registrant is a shell company (as defined in Rule 12b-2 of the Exchange Act). </w:t>
      </w:r>
      <w:r>
        <w:rPr>
          <w:rFonts w:ascii="Wingdings;sans-serif" w:hAnsi="Wingdings;sans-serif"/>
          <w:b w:val="false"/>
          <w:color w:val="000000"/>
          <w:sz w:val="14"/>
        </w:rPr>
        <w:t>o</w:t>
      </w:r>
      <w:r>
        <w:rPr>
          <w:color w:val="000000"/>
        </w:rPr>
        <w:t xml:space="preserve"> </w:t>
      </w:r>
      <w:r>
        <w:rPr>
          <w:rFonts w:ascii="Times New Roman;serif" w:hAnsi="Times New Roman;serif"/>
          <w:b w:val="false"/>
          <w:color w:val="000000"/>
          <w:sz w:val="14"/>
        </w:rPr>
        <w:t xml:space="preserve">Yes </w:t>
      </w:r>
      <w:r>
        <w:rPr>
          <w:rFonts w:ascii="Wingdings;sans-serif" w:hAnsi="Wingdings;sans-serif"/>
          <w:b w:val="false"/>
          <w:color w:val="000000"/>
          <w:sz w:val="14"/>
          <w:shd w:fill="FFFFFF" w:val="clear"/>
        </w:rPr>
        <w:t>x</w:t>
      </w:r>
      <w:r>
        <w:rPr>
          <w:color w:val="000000"/>
        </w:rPr>
        <w:t xml:space="preserve"> </w:t>
      </w:r>
      <w:r>
        <w:rPr>
          <w:rFonts w:ascii="Times New Roman;serif" w:hAnsi="Times New Roman;serif"/>
          <w:b w:val="false"/>
          <w:color w:val="000000"/>
          <w:sz w:val="14"/>
        </w:rPr>
        <w:t>No</w:t>
      </w:r>
    </w:p>
    <w:p>
      <w:pPr>
        <w:pStyle w:val="TextBody"/>
        <w:bidi w:val="0"/>
        <w:spacing w:lineRule="auto" w:line="288" w:before="120" w:after="283"/>
        <w:ind w:left="0" w:right="0" w:firstLine="720"/>
        <w:jc w:val="left"/>
        <w:rPr/>
      </w:pPr>
      <w:r>
        <w:rPr>
          <w:rFonts w:ascii="Times New Roman;serif" w:hAnsi="Times New Roman;serif"/>
          <w:b w:val="false"/>
          <w:color w:val="000000"/>
          <w:sz w:val="14"/>
        </w:rPr>
        <w:t>There were 36,852,173</w:t>
      </w:r>
      <w:r>
        <w:rPr>
          <w:color w:val="000000"/>
        </w:rPr>
        <w:t xml:space="preserve"> </w:t>
      </w:r>
      <w:r>
        <w:rPr>
          <w:rFonts w:ascii="Times New Roman;serif" w:hAnsi="Times New Roman;serif"/>
          <w:b w:val="false"/>
          <w:color w:val="000000"/>
          <w:sz w:val="14"/>
        </w:rPr>
        <w:t>shares of Common Stock, $0.001 par value per share, outstanding at July 30,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OneSpan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554"/>
        <w:gridCol w:w="486"/>
        <w:gridCol w:w="486"/>
        <w:gridCol w:w="2810"/>
        <w:gridCol w:w="2736"/>
        <w:gridCol w:w="2758"/>
        <w:gridCol w:w="109"/>
        <w:gridCol w:w="109"/>
        <w:gridCol w:w="157"/>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10">
              <w:r>
                <w:rPr>
                  <w:rStyle w:val="InternetLink"/>
                  <w:rFonts w:ascii="Times New Roman;serif" w:hAnsi="Times New Roman;serif"/>
                  <w:b/>
                  <w:color w:val="0000FF"/>
                  <w:sz w:val="20"/>
                  <w:u w:val="single"/>
                </w:rPr>
                <w:t>PART I. FINANCIAL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13">
              <w:r>
                <w:rPr>
                  <w:rStyle w:val="InternetLink"/>
                  <w:rFonts w:ascii="Times New Roman;serif" w:hAnsi="Times New Roman;serif"/>
                  <w:b w:val="false"/>
                  <w:color w:val="0000FF"/>
                  <w:sz w:val="20"/>
                  <w:u w:val="single"/>
                </w:rPr>
                <w:t>Item 1.</w:t>
              </w:r>
            </w:hyperlink>
          </w:p>
        </w:tc>
        <w:tc>
          <w:tcPr>
            <w:tcW w:w="8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13">
              <w:r>
                <w:rPr>
                  <w:rStyle w:val="InternetLink"/>
                  <w:rFonts w:ascii="Times New Roman;serif" w:hAnsi="Times New Roman;serif"/>
                  <w:b w:val="false"/>
                  <w:color w:val="0000FF"/>
                  <w:sz w:val="20"/>
                  <w:u w:val="single"/>
                </w:rPr>
                <w:t>Condensed Consolidated Financial Statements (Unaudited)</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16">
              <w:r>
                <w:rPr>
                  <w:rStyle w:val="InternetLink"/>
                  <w:rFonts w:ascii="Times New Roman;serif" w:hAnsi="Times New Roman;serif"/>
                  <w:b w:val="false"/>
                  <w:color w:val="000080"/>
                  <w:sz w:val="20"/>
                  <w:u w:val="single"/>
                </w:rPr>
                <w:t xml:space="preserve">Condensed Consolidated Balance Sheets as of </w:t>
              </w:r>
            </w:hyperlink>
            <w:hyperlink w:anchor="i8cd906cc957949b7aa94b8387bdfcab1_16">
              <w:r>
                <w:rPr>
                  <w:rStyle w:val="InternetLink"/>
                  <w:rFonts w:ascii="Times New Roman;serif" w:hAnsi="Times New Roman;serif"/>
                  <w:b w:val="false"/>
                  <w:color w:val="000080"/>
                  <w:sz w:val="20"/>
                  <w:u w:val="single"/>
                </w:rPr>
                <w:t>June</w:t>
              </w:r>
            </w:hyperlink>
            <w:hyperlink w:anchor="i8cd906cc957949b7aa94b8387bdfcab1_16">
              <w:r>
                <w:rPr>
                  <w:rStyle w:val="InternetLink"/>
                  <w:rFonts w:ascii="Times New Roman;serif" w:hAnsi="Times New Roman;serif"/>
                  <w:b w:val="false"/>
                  <w:color w:val="000080"/>
                  <w:sz w:val="20"/>
                  <w:u w:val="single"/>
                </w:rPr>
                <w:t xml:space="preserve"> 3</w:t>
              </w:r>
            </w:hyperlink>
            <w:hyperlink w:anchor="i8cd906cc957949b7aa94b8387bdfcab1_16">
              <w:r>
                <w:rPr>
                  <w:rStyle w:val="InternetLink"/>
                  <w:rFonts w:ascii="Times New Roman;serif" w:hAnsi="Times New Roman;serif"/>
                  <w:b w:val="false"/>
                  <w:color w:val="000080"/>
                  <w:sz w:val="20"/>
                  <w:u w:val="single"/>
                </w:rPr>
                <w:t>0</w:t>
              </w:r>
            </w:hyperlink>
            <w:hyperlink w:anchor="i8cd906cc957949b7aa94b8387bdfcab1_16">
              <w:r>
                <w:rPr>
                  <w:rStyle w:val="InternetLink"/>
                  <w:rFonts w:ascii="Times New Roman;serif" w:hAnsi="Times New Roman;serif"/>
                  <w:b w:val="false"/>
                  <w:color w:val="000080"/>
                  <w:sz w:val="20"/>
                  <w:u w:val="single"/>
                </w:rPr>
                <w:t>, 2026 and December 31, 2025</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d906cc957949b7aa94b8387bdfcab1_16">
              <w:r>
                <w:rPr>
                  <w:rStyle w:val="InternetLink"/>
                  <w:rFonts w:ascii="Times New Roman;serif" w:hAnsi="Times New Roman;serif"/>
                  <w:b w:val="false"/>
                  <w:strike w:val="false"/>
                  <w:dstrike w:val="false"/>
                  <w:color w:val="000000"/>
                  <w:sz w:val="20"/>
                  <w:u w:val="none"/>
                  <w:effect w:val="none"/>
                </w:rPr>
                <w:t>3</w:t>
              </w:r>
            </w:hyperlink>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19">
              <w:r>
                <w:rPr>
                  <w:rStyle w:val="InternetLink"/>
                  <w:rFonts w:ascii="Times New Roman;serif" w:hAnsi="Times New Roman;serif"/>
                  <w:b w:val="false"/>
                  <w:color w:val="000080"/>
                  <w:sz w:val="20"/>
                  <w:u w:val="single"/>
                </w:rPr>
                <w:t xml:space="preserve">Condensed Consolidated Statements of Operations for the Three </w:t>
              </w:r>
            </w:hyperlink>
            <w:hyperlink w:anchor="i8cd906cc957949b7aa94b8387bdfcab1_19">
              <w:r>
                <w:rPr>
                  <w:rStyle w:val="InternetLink"/>
                  <w:rFonts w:ascii="Times New Roman;serif" w:hAnsi="Times New Roman;serif"/>
                  <w:b w:val="false"/>
                  <w:color w:val="000080"/>
                  <w:sz w:val="20"/>
                  <w:u w:val="single"/>
                </w:rPr>
                <w:t>and Six</w:t>
              </w:r>
            </w:hyperlink>
            <w:hyperlink w:anchor="i8cd906cc957949b7aa94b8387bdfcab1_19">
              <w:r>
                <w:rPr>
                  <w:rStyle w:val="InternetLink"/>
                  <w:rFonts w:ascii="Times New Roman;serif" w:hAnsi="Times New Roman;serif"/>
                  <w:b w:val="false"/>
                  <w:color w:val="000080"/>
                  <w:sz w:val="20"/>
                  <w:u w:val="single"/>
                </w:rPr>
                <w:t xml:space="preserve"> </w:t>
              </w:r>
            </w:hyperlink>
            <w:hyperlink w:anchor="i8cd906cc957949b7aa94b8387bdfcab1_19">
              <w:r>
                <w:rPr>
                  <w:rStyle w:val="InternetLink"/>
                  <w:rFonts w:ascii="Times New Roman;serif" w:hAnsi="Times New Roman;serif"/>
                  <w:b w:val="false"/>
                  <w:color w:val="000080"/>
                  <w:sz w:val="20"/>
                  <w:u w:val="single"/>
                </w:rPr>
                <w:t xml:space="preserve">Months Ended </w:t>
              </w:r>
            </w:hyperlink>
            <w:hyperlink w:anchor="i8cd906cc957949b7aa94b8387bdfcab1_19">
              <w:r>
                <w:rPr>
                  <w:rStyle w:val="InternetLink"/>
                  <w:rFonts w:ascii="Times New Roman;serif" w:hAnsi="Times New Roman;serif"/>
                  <w:b w:val="false"/>
                  <w:color w:val="000080"/>
                  <w:sz w:val="20"/>
                  <w:u w:val="single"/>
                </w:rPr>
                <w:t>June</w:t>
              </w:r>
            </w:hyperlink>
            <w:hyperlink w:anchor="i8cd906cc957949b7aa94b8387bdfcab1_19">
              <w:r>
                <w:rPr>
                  <w:rStyle w:val="InternetLink"/>
                  <w:rFonts w:ascii="Times New Roman;serif" w:hAnsi="Times New Roman;serif"/>
                  <w:b w:val="false"/>
                  <w:color w:val="000080"/>
                  <w:sz w:val="20"/>
                  <w:u w:val="single"/>
                </w:rPr>
                <w:t xml:space="preserve"> 3</w:t>
              </w:r>
            </w:hyperlink>
            <w:hyperlink w:anchor="i8cd906cc957949b7aa94b8387bdfcab1_19">
              <w:r>
                <w:rPr>
                  <w:rStyle w:val="InternetLink"/>
                  <w:rFonts w:ascii="Times New Roman;serif" w:hAnsi="Times New Roman;serif"/>
                  <w:b w:val="false"/>
                  <w:color w:val="000080"/>
                  <w:sz w:val="20"/>
                  <w:u w:val="single"/>
                </w:rPr>
                <w:t>0</w:t>
              </w:r>
            </w:hyperlink>
            <w:hyperlink w:anchor="i8cd906cc957949b7aa94b8387bdfcab1_19">
              <w:r>
                <w:rPr>
                  <w:rStyle w:val="InternetLink"/>
                  <w:rFonts w:ascii="Times New Roman;serif" w:hAnsi="Times New Roman;serif"/>
                  <w:b w:val="false"/>
                  <w:color w:val="000080"/>
                  <w:sz w:val="20"/>
                  <w:u w:val="single"/>
                </w:rPr>
                <w:t>, 2026 and 2025</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d906cc957949b7aa94b8387bdfcab1_19">
              <w:r>
                <w:rPr>
                  <w:rStyle w:val="InternetLink"/>
                  <w:rFonts w:ascii="Times New Roman;serif" w:hAnsi="Times New Roman;serif"/>
                  <w:b w:val="false"/>
                  <w:strike w:val="false"/>
                  <w:dstrike w:val="false"/>
                  <w:color w:val="000000"/>
                  <w:sz w:val="20"/>
                  <w:u w:val="none"/>
                  <w:effect w:val="none"/>
                </w:rPr>
                <w:t>4</w:t>
              </w:r>
            </w:hyperlink>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22">
              <w:r>
                <w:rPr>
                  <w:rStyle w:val="InternetLink"/>
                  <w:rFonts w:ascii="Times New Roman;serif" w:hAnsi="Times New Roman;serif"/>
                  <w:b w:val="false"/>
                  <w:color w:val="000080"/>
                  <w:sz w:val="20"/>
                  <w:u w:val="single"/>
                </w:rPr>
                <w:t xml:space="preserve">Condensed Consolidated Statements of Comprehensive Income for the </w:t>
              </w:r>
            </w:hyperlink>
            <w:hyperlink w:anchor="i8cd906cc957949b7aa94b8387bdfcab1_19">
              <w:r>
                <w:rPr>
                  <w:rStyle w:val="InternetLink"/>
                  <w:rFonts w:ascii="Times New Roman;serif" w:hAnsi="Times New Roman;serif"/>
                  <w:b w:val="false"/>
                  <w:color w:val="000080"/>
                  <w:sz w:val="20"/>
                  <w:u w:val="single"/>
                </w:rPr>
                <w:t xml:space="preserve">Three </w:t>
              </w:r>
            </w:hyperlink>
            <w:hyperlink w:anchor="i8cd906cc957949b7aa94b8387bdfcab1_19">
              <w:r>
                <w:rPr>
                  <w:rStyle w:val="InternetLink"/>
                  <w:rFonts w:ascii="Times New Roman;serif" w:hAnsi="Times New Roman;serif"/>
                  <w:b w:val="false"/>
                  <w:color w:val="000080"/>
                  <w:sz w:val="20"/>
                  <w:u w:val="single"/>
                </w:rPr>
                <w:t xml:space="preserve">and Six </w:t>
              </w:r>
            </w:hyperlink>
            <w:hyperlink w:anchor="i8cd906cc957949b7aa94b8387bdfcab1_19">
              <w:r>
                <w:rPr>
                  <w:rStyle w:val="InternetLink"/>
                  <w:rFonts w:ascii="Times New Roman;serif" w:hAnsi="Times New Roman;serif"/>
                  <w:b w:val="false"/>
                  <w:color w:val="000080"/>
                  <w:sz w:val="20"/>
                  <w:u w:val="single"/>
                </w:rPr>
                <w:t>Months Ended</w:t>
              </w:r>
            </w:hyperlink>
            <w:hyperlink w:anchor="i8cd906cc957949b7aa94b8387bdfcab1_22">
              <w:r>
                <w:rPr>
                  <w:rStyle w:val="InternetLink"/>
                  <w:rFonts w:ascii="Times New Roman;serif" w:hAnsi="Times New Roman;serif"/>
                  <w:b w:val="false"/>
                  <w:color w:val="000080"/>
                  <w:sz w:val="20"/>
                  <w:u w:val="single"/>
                </w:rPr>
                <w:t xml:space="preserve"> </w:t>
              </w:r>
            </w:hyperlink>
            <w:hyperlink w:anchor="i8cd906cc957949b7aa94b8387bdfcab1_22">
              <w:r>
                <w:rPr>
                  <w:rStyle w:val="InternetLink"/>
                  <w:rFonts w:ascii="Times New Roman;serif" w:hAnsi="Times New Roman;serif"/>
                  <w:b w:val="false"/>
                  <w:color w:val="000080"/>
                  <w:sz w:val="20"/>
                  <w:u w:val="single"/>
                </w:rPr>
                <w:t>June 30</w:t>
              </w:r>
            </w:hyperlink>
            <w:hyperlink w:anchor="i8cd906cc957949b7aa94b8387bdfcab1_22">
              <w:r>
                <w:rPr>
                  <w:rStyle w:val="InternetLink"/>
                  <w:rFonts w:ascii="Times New Roman;serif" w:hAnsi="Times New Roman;serif"/>
                  <w:b w:val="false"/>
                  <w:color w:val="000080"/>
                  <w:sz w:val="20"/>
                  <w:u w:val="single"/>
                </w:rPr>
                <w:t>, 2026 and 2025</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d906cc957949b7aa94b8387bdfcab1_22">
              <w:r>
                <w:rPr>
                  <w:rStyle w:val="InternetLink"/>
                  <w:rFonts w:ascii="Times New Roman;serif" w:hAnsi="Times New Roman;serif"/>
                  <w:b w:val="false"/>
                  <w:strike w:val="false"/>
                  <w:dstrike w:val="false"/>
                  <w:color w:val="000000"/>
                  <w:sz w:val="20"/>
                  <w:u w:val="none"/>
                  <w:effect w:val="none"/>
                </w:rPr>
                <w:t>5</w:t>
              </w:r>
            </w:hyperlink>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25">
              <w:r>
                <w:rPr>
                  <w:rStyle w:val="InternetLink"/>
                  <w:rFonts w:ascii="Times New Roman;serif" w:hAnsi="Times New Roman;serif"/>
                  <w:b w:val="false"/>
                  <w:color w:val="000080"/>
                  <w:sz w:val="20"/>
                  <w:u w:val="single"/>
                </w:rPr>
                <w:t xml:space="preserve">Condensed Consolidated Statements of Stockholders’ Equity for the </w:t>
              </w:r>
            </w:hyperlink>
            <w:hyperlink w:anchor="i8cd906cc957949b7aa94b8387bdfcab1_19">
              <w:r>
                <w:rPr>
                  <w:rStyle w:val="InternetLink"/>
                  <w:rFonts w:ascii="Times New Roman;serif" w:hAnsi="Times New Roman;serif"/>
                  <w:b w:val="false"/>
                  <w:color w:val="000080"/>
                  <w:sz w:val="20"/>
                  <w:u w:val="single"/>
                </w:rPr>
                <w:t xml:space="preserve">Three </w:t>
              </w:r>
            </w:hyperlink>
            <w:hyperlink w:anchor="i8cd906cc957949b7aa94b8387bdfcab1_19">
              <w:r>
                <w:rPr>
                  <w:rStyle w:val="InternetLink"/>
                  <w:rFonts w:ascii="Times New Roman;serif" w:hAnsi="Times New Roman;serif"/>
                  <w:b w:val="false"/>
                  <w:color w:val="000080"/>
                  <w:sz w:val="20"/>
                  <w:u w:val="single"/>
                </w:rPr>
                <w:t xml:space="preserve">and Six </w:t>
              </w:r>
            </w:hyperlink>
            <w:hyperlink w:anchor="i8cd906cc957949b7aa94b8387bdfcab1_19">
              <w:r>
                <w:rPr>
                  <w:rStyle w:val="InternetLink"/>
                  <w:rFonts w:ascii="Times New Roman;serif" w:hAnsi="Times New Roman;serif"/>
                  <w:b w:val="false"/>
                  <w:color w:val="000080"/>
                  <w:sz w:val="20"/>
                  <w:u w:val="single"/>
                </w:rPr>
                <w:t>Months Ended</w:t>
              </w:r>
            </w:hyperlink>
            <w:hyperlink w:anchor="i8cd906cc957949b7aa94b8387bdfcab1_25">
              <w:r>
                <w:rPr>
                  <w:rStyle w:val="InternetLink"/>
                  <w:rFonts w:ascii="Times New Roman;serif" w:hAnsi="Times New Roman;serif"/>
                  <w:b w:val="false"/>
                  <w:color w:val="000080"/>
                  <w:sz w:val="20"/>
                  <w:u w:val="single"/>
                </w:rPr>
                <w:t xml:space="preserve"> </w:t>
              </w:r>
            </w:hyperlink>
            <w:hyperlink w:anchor="i8cd906cc957949b7aa94b8387bdfcab1_25">
              <w:r>
                <w:rPr>
                  <w:rStyle w:val="InternetLink"/>
                  <w:rFonts w:ascii="Times New Roman;serif" w:hAnsi="Times New Roman;serif"/>
                  <w:b w:val="false"/>
                  <w:color w:val="000080"/>
                  <w:sz w:val="20"/>
                  <w:u w:val="single"/>
                </w:rPr>
                <w:t>June 30</w:t>
              </w:r>
            </w:hyperlink>
            <w:hyperlink w:anchor="i8cd906cc957949b7aa94b8387bdfcab1_25">
              <w:r>
                <w:rPr>
                  <w:rStyle w:val="InternetLink"/>
                  <w:rFonts w:ascii="Times New Roman;serif" w:hAnsi="Times New Roman;serif"/>
                  <w:b w:val="false"/>
                  <w:color w:val="000080"/>
                  <w:sz w:val="20"/>
                  <w:u w:val="single"/>
                </w:rPr>
                <w:t>, 2026 and 2025</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d906cc957949b7aa94b8387bdfcab1_25">
              <w:r>
                <w:rPr>
                  <w:rStyle w:val="InternetLink"/>
                  <w:rFonts w:ascii="Times New Roman;serif" w:hAnsi="Times New Roman;serif"/>
                  <w:b w:val="false"/>
                  <w:strike w:val="false"/>
                  <w:dstrike w:val="false"/>
                  <w:color w:val="000000"/>
                  <w:sz w:val="20"/>
                  <w:u w:val="none"/>
                  <w:effect w:val="none"/>
                </w:rPr>
                <w:t>6</w:t>
              </w:r>
            </w:hyperlink>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28">
              <w:r>
                <w:rPr>
                  <w:rStyle w:val="InternetLink"/>
                  <w:rFonts w:ascii="Times New Roman;serif" w:hAnsi="Times New Roman;serif"/>
                  <w:b w:val="false"/>
                  <w:color w:val="000080"/>
                  <w:sz w:val="20"/>
                  <w:u w:val="single"/>
                </w:rPr>
                <w:t xml:space="preserve">Condensed Consolidated Statements of Cash Flows for the </w:t>
              </w:r>
            </w:hyperlink>
            <w:hyperlink w:anchor="i8cd906cc957949b7aa94b8387bdfcab1_28">
              <w:r>
                <w:rPr>
                  <w:rStyle w:val="InternetLink"/>
                  <w:rFonts w:ascii="Times New Roman;serif" w:hAnsi="Times New Roman;serif"/>
                  <w:b w:val="false"/>
                  <w:color w:val="000080"/>
                  <w:sz w:val="20"/>
                  <w:u w:val="single"/>
                </w:rPr>
                <w:t xml:space="preserve">Six </w:t>
              </w:r>
            </w:hyperlink>
            <w:hyperlink w:anchor="i8cd906cc957949b7aa94b8387bdfcab1_28">
              <w:r>
                <w:rPr>
                  <w:rStyle w:val="InternetLink"/>
                  <w:rFonts w:ascii="Times New Roman;serif" w:hAnsi="Times New Roman;serif"/>
                  <w:b w:val="false"/>
                  <w:color w:val="000080"/>
                  <w:sz w:val="20"/>
                  <w:u w:val="single"/>
                </w:rPr>
                <w:t xml:space="preserve">Months </w:t>
              </w:r>
            </w:hyperlink>
            <w:hyperlink w:anchor="i8cd906cc957949b7aa94b8387bdfcab1_19">
              <w:r>
                <w:rPr>
                  <w:rStyle w:val="InternetLink"/>
                  <w:rFonts w:ascii="Times New Roman;serif" w:hAnsi="Times New Roman;serif"/>
                  <w:b w:val="false"/>
                  <w:color w:val="000080"/>
                  <w:sz w:val="20"/>
                  <w:u w:val="single"/>
                </w:rPr>
                <w:t>Ended</w:t>
              </w:r>
            </w:hyperlink>
            <w:hyperlink w:anchor="i8cd906cc957949b7aa94b8387bdfcab1_28">
              <w:r>
                <w:rPr>
                  <w:rStyle w:val="InternetLink"/>
                  <w:rFonts w:ascii="Times New Roman;serif" w:hAnsi="Times New Roman;serif"/>
                  <w:b w:val="false"/>
                  <w:color w:val="000080"/>
                  <w:sz w:val="20"/>
                  <w:u w:val="single"/>
                </w:rPr>
                <w:t xml:space="preserve"> </w:t>
              </w:r>
            </w:hyperlink>
            <w:hyperlink w:anchor="i8cd906cc957949b7aa94b8387bdfcab1_28">
              <w:r>
                <w:rPr>
                  <w:rStyle w:val="InternetLink"/>
                  <w:rFonts w:ascii="Times New Roman;serif" w:hAnsi="Times New Roman;serif"/>
                  <w:b w:val="false"/>
                  <w:color w:val="000080"/>
                  <w:sz w:val="20"/>
                  <w:u w:val="single"/>
                </w:rPr>
                <w:t>June</w:t>
              </w:r>
            </w:hyperlink>
            <w:hyperlink w:anchor="i8cd906cc957949b7aa94b8387bdfcab1_28">
              <w:r>
                <w:rPr>
                  <w:rStyle w:val="InternetLink"/>
                  <w:rFonts w:ascii="Times New Roman;serif" w:hAnsi="Times New Roman;serif"/>
                  <w:b w:val="false"/>
                  <w:color w:val="000080"/>
                  <w:sz w:val="20"/>
                  <w:u w:val="single"/>
                </w:rPr>
                <w:t xml:space="preserve"> 3</w:t>
              </w:r>
            </w:hyperlink>
            <w:hyperlink w:anchor="i8cd906cc957949b7aa94b8387bdfcab1_28">
              <w:r>
                <w:rPr>
                  <w:rStyle w:val="InternetLink"/>
                  <w:rFonts w:ascii="Times New Roman;serif" w:hAnsi="Times New Roman;serif"/>
                  <w:b w:val="false"/>
                  <w:color w:val="000080"/>
                  <w:sz w:val="20"/>
                  <w:u w:val="single"/>
                </w:rPr>
                <w:t>0</w:t>
              </w:r>
            </w:hyperlink>
            <w:hyperlink w:anchor="i8cd906cc957949b7aa94b8387bdfcab1_28">
              <w:r>
                <w:rPr>
                  <w:rStyle w:val="InternetLink"/>
                  <w:rFonts w:ascii="Times New Roman;serif" w:hAnsi="Times New Roman;serif"/>
                  <w:b w:val="false"/>
                  <w:color w:val="000080"/>
                  <w:sz w:val="20"/>
                  <w:u w:val="single"/>
                </w:rPr>
                <w:t>, 2026 and 2025</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d906cc957949b7aa94b8387bdfcab1_28">
              <w:r>
                <w:rPr>
                  <w:rStyle w:val="InternetLink"/>
                  <w:rFonts w:ascii="Times New Roman;serif" w:hAnsi="Times New Roman;serif"/>
                  <w:b w:val="false"/>
                  <w:strike w:val="false"/>
                  <w:dstrike w:val="false"/>
                  <w:color w:val="000000"/>
                  <w:sz w:val="20"/>
                  <w:u w:val="none"/>
                  <w:effect w:val="none"/>
                </w:rPr>
                <w:t>8</w:t>
              </w:r>
            </w:hyperlink>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31">
              <w:r>
                <w:rPr>
                  <w:rStyle w:val="InternetLink"/>
                  <w:rFonts w:ascii="Times New Roman;serif" w:hAnsi="Times New Roman;serif"/>
                  <w:b w:val="false"/>
                  <w:color w:val="0000FF"/>
                  <w:sz w:val="20"/>
                  <w:u w:val="single"/>
                </w:rPr>
                <w:t xml:space="preserve">Notes to Condensed Consolidated Financial Statements </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d906cc957949b7aa94b8387bdfcab1_31">
              <w:r>
                <w:rPr>
                  <w:rStyle w:val="InternetLink"/>
                  <w:rFonts w:ascii="Times New Roman;serif" w:hAnsi="Times New Roman;serif"/>
                  <w:b w:val="false"/>
                  <w:strike w:val="false"/>
                  <w:dstrike w:val="false"/>
                  <w:color w:val="000000"/>
                  <w:sz w:val="20"/>
                  <w:u w:val="none"/>
                  <w:effect w:val="none"/>
                </w:rPr>
                <w:t>9</w:t>
              </w:r>
            </w:hyperlink>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97">
              <w:r>
                <w:rPr>
                  <w:rStyle w:val="InternetLink"/>
                  <w:rFonts w:ascii="Times New Roman;serif" w:hAnsi="Times New Roman;serif"/>
                  <w:b w:val="false"/>
                  <w:color w:val="0000FF"/>
                  <w:sz w:val="20"/>
                  <w:u w:val="single"/>
                </w:rPr>
                <w:t>Item 2.</w:t>
              </w:r>
            </w:hyperlink>
          </w:p>
        </w:tc>
        <w:tc>
          <w:tcPr>
            <w:tcW w:w="8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9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d906cc957949b7aa94b8387bdfcab1_97">
              <w:r>
                <w:rPr>
                  <w:rStyle w:val="InternetLink"/>
                  <w:rFonts w:ascii="Times New Roman;serif" w:hAnsi="Times New Roman;serif"/>
                  <w:b w:val="false"/>
                  <w:strike w:val="false"/>
                  <w:dstrike w:val="false"/>
                  <w:color w:val="000000"/>
                  <w:sz w:val="20"/>
                  <w:u w:val="none"/>
                  <w:effect w:val="none"/>
                </w:rPr>
                <w:t>26</w:t>
              </w:r>
            </w:hyperlink>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139">
              <w:r>
                <w:rPr>
                  <w:rStyle w:val="InternetLink"/>
                  <w:rFonts w:ascii="Times New Roman;serif" w:hAnsi="Times New Roman;serif"/>
                  <w:b w:val="false"/>
                  <w:color w:val="0000FF"/>
                  <w:sz w:val="20"/>
                  <w:u w:val="single"/>
                </w:rPr>
                <w:t>Item 3.</w:t>
              </w:r>
            </w:hyperlink>
          </w:p>
        </w:tc>
        <w:tc>
          <w:tcPr>
            <w:tcW w:w="8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139">
              <w:r>
                <w:rPr>
                  <w:rStyle w:val="InternetLink"/>
                  <w:rFonts w:ascii="Times New Roman;serif" w:hAnsi="Times New Roman;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d906cc957949b7aa94b8387bdfcab1_139">
              <w:r>
                <w:rPr>
                  <w:rStyle w:val="InternetLink"/>
                  <w:rFonts w:ascii="Times New Roman;serif" w:hAnsi="Times New Roman;serif"/>
                  <w:b w:val="false"/>
                  <w:strike w:val="false"/>
                  <w:dstrike w:val="false"/>
                  <w:color w:val="000000"/>
                  <w:sz w:val="20"/>
                  <w:u w:val="none"/>
                  <w:effect w:val="none"/>
                </w:rPr>
                <w:t>42</w:t>
              </w:r>
            </w:hyperlink>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142">
              <w:r>
                <w:rPr>
                  <w:rStyle w:val="InternetLink"/>
                  <w:rFonts w:ascii="Times New Roman;serif" w:hAnsi="Times New Roman;serif"/>
                  <w:b w:val="false"/>
                  <w:color w:val="0000FF"/>
                  <w:sz w:val="20"/>
                  <w:u w:val="single"/>
                </w:rPr>
                <w:t>Item 4.</w:t>
              </w:r>
            </w:hyperlink>
          </w:p>
        </w:tc>
        <w:tc>
          <w:tcPr>
            <w:tcW w:w="8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142">
              <w:r>
                <w:rPr>
                  <w:rStyle w:val="InternetLink"/>
                  <w:rFonts w:ascii="Times New Roman;serif" w:hAnsi="Times New Roman;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d906cc957949b7aa94b8387bdfcab1_142">
              <w:r>
                <w:rPr>
                  <w:rStyle w:val="InternetLink"/>
                  <w:rFonts w:ascii="Times New Roman;serif" w:hAnsi="Times New Roman;serif"/>
                  <w:b w:val="false"/>
                  <w:strike w:val="false"/>
                  <w:dstrike w:val="false"/>
                  <w:color w:val="000000"/>
                  <w:sz w:val="20"/>
                  <w:u w:val="none"/>
                  <w:effect w:val="none"/>
                </w:rPr>
                <w:t>42</w:t>
              </w:r>
            </w:hyperlink>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145">
              <w:r>
                <w:rPr>
                  <w:rStyle w:val="InternetLink"/>
                  <w:rFonts w:ascii="Times New Roman;serif" w:hAnsi="Times New Roman;serif"/>
                  <w:b/>
                  <w:color w:val="0000FF"/>
                  <w:sz w:val="20"/>
                  <w:u w:val="single"/>
                </w:rPr>
                <w:t>PART II. OTHER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148">
              <w:r>
                <w:rPr>
                  <w:rStyle w:val="InternetLink"/>
                  <w:rFonts w:ascii="Times New Roman;serif" w:hAnsi="Times New Roman;serif"/>
                  <w:b w:val="false"/>
                  <w:color w:val="0000FF"/>
                  <w:sz w:val="20"/>
                  <w:u w:val="single"/>
                </w:rPr>
                <w:t>Item 1.</w:t>
              </w:r>
            </w:hyperlink>
          </w:p>
        </w:tc>
        <w:tc>
          <w:tcPr>
            <w:tcW w:w="8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148">
              <w:r>
                <w:rPr>
                  <w:rStyle w:val="InternetLink"/>
                  <w:rFonts w:ascii="Times New Roman;serif" w:hAnsi="Times New Roman;serif"/>
                  <w:b w:val="false"/>
                  <w:color w:val="0000FF"/>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d906cc957949b7aa94b8387bdfcab1_148">
              <w:r>
                <w:rPr>
                  <w:rStyle w:val="InternetLink"/>
                  <w:rFonts w:ascii="Times New Roman;serif" w:hAnsi="Times New Roman;serif"/>
                  <w:b w:val="false"/>
                  <w:strike w:val="false"/>
                  <w:dstrike w:val="false"/>
                  <w:color w:val="000000"/>
                  <w:sz w:val="20"/>
                  <w:u w:val="none"/>
                  <w:effect w:val="none"/>
                </w:rPr>
                <w:t>42</w:t>
              </w:r>
            </w:hyperlink>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151">
              <w:r>
                <w:rPr>
                  <w:rStyle w:val="InternetLink"/>
                  <w:rFonts w:ascii="Times New Roman;serif" w:hAnsi="Times New Roman;serif"/>
                  <w:b w:val="false"/>
                  <w:color w:val="0000FF"/>
                  <w:sz w:val="20"/>
                  <w:u w:val="single"/>
                </w:rPr>
                <w:t>Item 1A.</w:t>
              </w:r>
            </w:hyperlink>
          </w:p>
        </w:tc>
        <w:tc>
          <w:tcPr>
            <w:tcW w:w="8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151">
              <w:r>
                <w:rPr>
                  <w:rStyle w:val="InternetLink"/>
                  <w:rFonts w:ascii="Times New Roman;serif" w:hAnsi="Times New Roman;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d906cc957949b7aa94b8387bdfcab1_151">
              <w:r>
                <w:rPr>
                  <w:rStyle w:val="InternetLink"/>
                  <w:rFonts w:ascii="Times New Roman;serif" w:hAnsi="Times New Roman;serif"/>
                  <w:b w:val="false"/>
                  <w:strike w:val="false"/>
                  <w:dstrike w:val="false"/>
                  <w:color w:val="000000"/>
                  <w:sz w:val="20"/>
                  <w:u w:val="none"/>
                  <w:effect w:val="none"/>
                </w:rPr>
                <w:t>43</w:t>
              </w:r>
            </w:hyperlink>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154">
              <w:r>
                <w:rPr>
                  <w:rStyle w:val="InternetLink"/>
                  <w:rFonts w:ascii="Times New Roman;serif" w:hAnsi="Times New Roman;serif"/>
                  <w:b w:val="false"/>
                  <w:color w:val="0000FF"/>
                  <w:sz w:val="20"/>
                  <w:u w:val="single"/>
                </w:rPr>
                <w:t>Item 2.</w:t>
              </w:r>
            </w:hyperlink>
          </w:p>
        </w:tc>
        <w:tc>
          <w:tcPr>
            <w:tcW w:w="8304"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i8cd906cc957949b7aa94b8387bdfcab1_154">
              <w:r>
                <w:rPr>
                  <w:rStyle w:val="InternetLink"/>
                  <w:rFonts w:ascii="Times New Roman;serif" w:hAnsi="Times New Roman;serif"/>
                  <w:b w:val="false"/>
                  <w:color w:val="0000FF"/>
                  <w:sz w:val="20"/>
                  <w:u w:val="single"/>
                </w:rPr>
                <w:t>Unregistered Sales of Equity Securities, Use of Proceeds, and Issuer Purchases of Equity Securities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d906cc957949b7aa94b8387bdfcab1_154">
              <w:r>
                <w:rPr>
                  <w:rStyle w:val="InternetLink"/>
                  <w:rFonts w:ascii="Times New Roman;serif" w:hAnsi="Times New Roman;serif"/>
                  <w:b w:val="false"/>
                  <w:strike w:val="false"/>
                  <w:dstrike w:val="false"/>
                  <w:color w:val="000000"/>
                  <w:sz w:val="20"/>
                  <w:u w:val="none"/>
                  <w:effect w:val="none"/>
                </w:rPr>
                <w:t>43</w:t>
              </w:r>
            </w:hyperlink>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157">
              <w:r>
                <w:rPr>
                  <w:rStyle w:val="InternetLink"/>
                  <w:rFonts w:ascii="Times New Roman;serif" w:hAnsi="Times New Roman;serif"/>
                  <w:b w:val="false"/>
                  <w:color w:val="0000FF"/>
                  <w:sz w:val="20"/>
                  <w:u w:val="single"/>
                </w:rPr>
                <w:t>Item 6.</w:t>
              </w:r>
            </w:hyperlink>
          </w:p>
        </w:tc>
        <w:tc>
          <w:tcPr>
            <w:tcW w:w="83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157">
              <w:r>
                <w:rPr>
                  <w:rStyle w:val="InternetLink"/>
                  <w:rFonts w:ascii="Times New Roman;serif" w:hAnsi="Times New Roman;serif"/>
                  <w:b w:val="false"/>
                  <w:color w:val="0000FF"/>
                  <w:sz w:val="20"/>
                  <w:u w:val="singl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d906cc957949b7aa94b8387bdfcab1_157">
              <w:r>
                <w:rPr>
                  <w:rStyle w:val="InternetLink"/>
                  <w:rFonts w:ascii="Times New Roman;serif" w:hAnsi="Times New Roman;serif"/>
                  <w:b w:val="false"/>
                  <w:strike w:val="false"/>
                  <w:dstrike w:val="false"/>
                  <w:color w:val="000000"/>
                  <w:sz w:val="20"/>
                  <w:u w:val="none"/>
                  <w:effect w:val="none"/>
                </w:rPr>
                <w:t>44</w:t>
              </w:r>
            </w:hyperlink>
          </w:p>
        </w:tc>
      </w:tr>
      <w:tr>
        <w:trPr/>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cd906cc957949b7aa94b8387bdfcab1_160">
              <w:r>
                <w:rPr>
                  <w:rStyle w:val="InternetLink"/>
                  <w:rFonts w:ascii="Times New Roman;serif" w:hAnsi="Times New Roman;serif"/>
                  <w:b/>
                  <w:color w:val="0000FF"/>
                  <w:sz w:val="20"/>
                  <w:u w:val="singl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d906cc957949b7aa94b8387bdfcab1_160">
              <w:r>
                <w:rPr>
                  <w:rStyle w:val="InternetLink"/>
                  <w:rFonts w:ascii="Times New Roman;serif" w:hAnsi="Times New Roman;serif"/>
                  <w:b w:val="false"/>
                  <w:strike w:val="false"/>
                  <w:dstrike w:val="false"/>
                  <w:color w:val="000000"/>
                  <w:sz w:val="20"/>
                  <w:u w:val="none"/>
                  <w:effect w:val="non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OneSpan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par value)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18"/>
        <w:gridCol w:w="2135"/>
        <w:gridCol w:w="2143"/>
        <w:gridCol w:w="196"/>
        <w:gridCol w:w="736"/>
        <w:gridCol w:w="109"/>
        <w:gridCol w:w="109"/>
        <w:gridCol w:w="109"/>
        <w:gridCol w:w="109"/>
        <w:gridCol w:w="196"/>
        <w:gridCol w:w="736"/>
        <w:gridCol w:w="709"/>
      </w:tblGrid>
      <w:tr>
        <w:trPr/>
        <w:tc>
          <w:tcPr>
            <w:tcW w:w="2918"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59"/>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70,499 </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allowances of $861 at June 30, 2026 and $1,227 at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55,999 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259"/>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10,466 </w:t>
            </w:r>
          </w:p>
        </w:tc>
        <w:tc>
          <w:tcPr>
            <w:tcW w:w="709" w:type="dxa"/>
            <w:tcBorders/>
            <w:shd w:fill="CCEEFF" w:val="clear"/>
            <w:tcMar>
              <w:top w:w="0" w:type="dxa"/>
              <w:left w:w="0" w:type="dxa"/>
              <w:bottom w:w="0" w:type="dxa"/>
              <w:right w:w="0" w:type="dxa"/>
            </w:tcMar>
            <w:vAlign w:val="center"/>
          </w:tcPr>
          <w:p>
            <w:pPr>
              <w:pStyle w:val="TableContents"/>
              <w:bidi w:val="0"/>
              <w:spacing w:before="0" w:after="283"/>
              <w:ind w:left="0" w:right="0" w:firstLine="259"/>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7,044 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259"/>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18,269 </w:t>
            </w:r>
          </w:p>
        </w:tc>
        <w:tc>
          <w:tcPr>
            <w:tcW w:w="709" w:type="dxa"/>
            <w:tcBorders/>
            <w:shd w:fill="CCEEFF" w:val="clear"/>
            <w:tcMar>
              <w:top w:w="0" w:type="dxa"/>
              <w:left w:w="0" w:type="dxa"/>
              <w:bottom w:w="0" w:type="dxa"/>
              <w:right w:w="0" w:type="dxa"/>
            </w:tcMar>
            <w:vAlign w:val="center"/>
          </w:tcPr>
          <w:p>
            <w:pPr>
              <w:pStyle w:val="TableContents"/>
              <w:bidi w:val="0"/>
              <w:spacing w:before="0" w:after="283"/>
              <w:ind w:left="0" w:right="0" w:firstLine="259"/>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9,936 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576"/>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172,213 </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22,234 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7,356 </w:t>
            </w:r>
          </w:p>
        </w:tc>
        <w:tc>
          <w:tcPr>
            <w:tcW w:w="709" w:type="dxa"/>
            <w:tcBorders/>
            <w:shd w:fill="CCEE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103,840 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 of accumulated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9,741 </w:t>
            </w:r>
          </w:p>
        </w:tc>
        <w:tc>
          <w:tcPr>
            <w:tcW w:w="709" w:type="dxa"/>
            <w:tcBorders/>
            <w:shd w:fill="CCEE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54,733 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11,834 </w:t>
            </w:r>
          </w:p>
        </w:tc>
        <w:tc>
          <w:tcPr>
            <w:tcW w:w="709" w:type="dxa"/>
            <w:tcBorders/>
            <w:shd w:fill="CCEE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15,751 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576"/>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397,702 </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13,726 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71,641 </w:t>
            </w:r>
          </w:p>
        </w:tc>
        <w:tc>
          <w:tcPr>
            <w:tcW w:w="709" w:type="dxa"/>
            <w:tcBorders/>
            <w:shd w:fill="CCEE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wages and payroll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13,553 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income taxes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3,079 </w:t>
            </w:r>
          </w:p>
        </w:tc>
        <w:tc>
          <w:tcPr>
            <w:tcW w:w="709" w:type="dxa"/>
            <w:tcBorders/>
            <w:shd w:fill="CCEE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11,859 </w:t>
            </w:r>
          </w:p>
        </w:tc>
        <w:tc>
          <w:tcPr>
            <w:tcW w:w="709" w:type="dxa"/>
            <w:tcBorders/>
            <w:shd w:fill="CCEE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547"/>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114,571 </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6,139 </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ind w:left="0" w:right="0" w:firstLine="216"/>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9"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562"/>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125,859 </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500 shares authorized, 0 issued and outstanding at June 30, 2026 and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per share, 75,000 shares authorized; 42,252 and 42,091 shares issued; 36,783 and 37,361 shares outstanding at June 30, 2026 and December 31,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128,651 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5,469 and 4,730 shares outstanding at June 30, 2026 and December 31,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(60,521)</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209,821 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(6,145)</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271,843 </w:t>
            </w:r>
          </w:p>
        </w:tc>
        <w:tc>
          <w:tcPr>
            <w:tcW w:w="7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397,702 </w:t>
            </w:r>
          </w:p>
        </w:tc>
        <w:tc>
          <w:tcPr>
            <w:tcW w:w="7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OneSpan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7908" w:type="dxa"/>
        <w:jc w:val="left"/>
        <w:tblInd w:w="0" w:type="dxa"/>
        <w:tblLayout w:type="fixed"/>
        <w:tblCellMar>
          <w:top w:w="28" w:type="dxa"/>
          <w:left w:w="28" w:type="dxa"/>
          <w:bottom w:w="28" w:type="dxa"/>
          <w:right w:w="28" w:type="dxa"/>
        </w:tblCellMar>
      </w:tblPr>
      <w:tblGrid>
        <w:gridCol w:w="1230"/>
        <w:gridCol w:w="1082"/>
        <w:gridCol w:w="1093"/>
        <w:gridCol w:w="196"/>
        <w:gridCol w:w="646"/>
        <w:gridCol w:w="109"/>
        <w:gridCol w:w="109"/>
        <w:gridCol w:w="109"/>
        <w:gridCol w:w="109"/>
        <w:gridCol w:w="196"/>
        <w:gridCol w:w="646"/>
        <w:gridCol w:w="109"/>
        <w:gridCol w:w="196"/>
        <w:gridCol w:w="646"/>
        <w:gridCol w:w="109"/>
        <w:gridCol w:w="109"/>
        <w:gridCol w:w="109"/>
        <w:gridCol w:w="109"/>
        <w:gridCol w:w="196"/>
        <w:gridCol w:w="646"/>
        <w:gridCol w:w="154"/>
      </w:tblGrid>
      <w:tr>
        <w:trPr/>
        <w:tc>
          <w:tcPr>
            <w:tcW w:w="123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and license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123,209 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and license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goods sold</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32,151 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 of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related charges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costs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63,370 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income,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38,205</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38,156</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5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39,012</w:t>
            </w:r>
          </w:p>
        </w:tc>
        <w:tc>
          <w:tcPr>
            <w:tcW w:w="951"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39,026</w:t>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OneSpan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879" w:type="dxa"/>
        <w:jc w:val="left"/>
        <w:tblInd w:w="0" w:type="dxa"/>
        <w:tblLayout w:type="fixed"/>
        <w:tblCellMar>
          <w:top w:w="28" w:type="dxa"/>
          <w:left w:w="28" w:type="dxa"/>
          <w:bottom w:w="28" w:type="dxa"/>
          <w:right w:w="28" w:type="dxa"/>
        </w:tblCellMar>
      </w:tblPr>
      <w:tblGrid>
        <w:gridCol w:w="1373"/>
        <w:gridCol w:w="1205"/>
        <w:gridCol w:w="1216"/>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73"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 net of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adjustment, net of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OneSpan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 the Three and Six Months Ended June 30, 2026:</w:t>
      </w:r>
    </w:p>
    <w:tbl>
      <w:tblPr>
        <w:tblW w:w="11394" w:type="dxa"/>
        <w:jc w:val="left"/>
        <w:tblInd w:w="0" w:type="dxa"/>
        <w:tblLayout w:type="fixed"/>
        <w:tblCellMar>
          <w:top w:w="28" w:type="dxa"/>
          <w:left w:w="28" w:type="dxa"/>
          <w:bottom w:w="28" w:type="dxa"/>
          <w:right w:w="28" w:type="dxa"/>
        </w:tblCellMar>
      </w:tblPr>
      <w:tblGrid>
        <w:gridCol w:w="492"/>
        <w:gridCol w:w="301"/>
        <w:gridCol w:w="303"/>
        <w:gridCol w:w="109"/>
        <w:gridCol w:w="109"/>
        <w:gridCol w:w="109"/>
        <w:gridCol w:w="321"/>
        <w:gridCol w:w="325"/>
        <w:gridCol w:w="203"/>
        <w:gridCol w:w="109"/>
        <w:gridCol w:w="109"/>
        <w:gridCol w:w="109"/>
        <w:gridCol w:w="212"/>
        <w:gridCol w:w="359"/>
        <w:gridCol w:w="120"/>
        <w:gridCol w:w="109"/>
        <w:gridCol w:w="109"/>
        <w:gridCol w:w="109"/>
        <w:gridCol w:w="277"/>
        <w:gridCol w:w="279"/>
        <w:gridCol w:w="196"/>
        <w:gridCol w:w="109"/>
        <w:gridCol w:w="109"/>
        <w:gridCol w:w="109"/>
        <w:gridCol w:w="196"/>
        <w:gridCol w:w="661"/>
        <w:gridCol w:w="109"/>
        <w:gridCol w:w="109"/>
        <w:gridCol w:w="109"/>
        <w:gridCol w:w="109"/>
        <w:gridCol w:w="196"/>
        <w:gridCol w:w="736"/>
        <w:gridCol w:w="109"/>
        <w:gridCol w:w="109"/>
        <w:gridCol w:w="109"/>
        <w:gridCol w:w="109"/>
        <w:gridCol w:w="196"/>
        <w:gridCol w:w="736"/>
        <w:gridCol w:w="109"/>
        <w:gridCol w:w="109"/>
        <w:gridCol w:w="109"/>
        <w:gridCol w:w="109"/>
        <w:gridCol w:w="272"/>
        <w:gridCol w:w="792"/>
        <w:gridCol w:w="152"/>
        <w:gridCol w:w="109"/>
        <w:gridCol w:w="109"/>
        <w:gridCol w:w="109"/>
        <w:gridCol w:w="203"/>
        <w:gridCol w:w="763"/>
        <w:gridCol w:w="160"/>
      </w:tblGrid>
      <w:tr>
        <w:trPr/>
        <w:tc>
          <w:tcPr>
            <w:tcW w:w="49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(6,145)</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271,843 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payments for stock 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 inclusive of excise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($0.13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adjustment,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(8,063)</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272,016 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6,781</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3,442</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payments for stock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 inclusive of excise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($0.13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(5,144)</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adjustment,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36,783 </w:t>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5,469 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(68,884)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(8,458)</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273,480 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For the Three and Six Months Ended June 30, 2025:</w:t>
      </w:r>
    </w:p>
    <w:tbl>
      <w:tblPr>
        <w:tblW w:w="11394" w:type="dxa"/>
        <w:jc w:val="left"/>
        <w:tblInd w:w="0" w:type="dxa"/>
        <w:tblLayout w:type="fixed"/>
        <w:tblCellMar>
          <w:top w:w="28" w:type="dxa"/>
          <w:left w:w="28" w:type="dxa"/>
          <w:bottom w:w="28" w:type="dxa"/>
          <w:right w:w="28" w:type="dxa"/>
        </w:tblCellMar>
      </w:tblPr>
      <w:tblGrid>
        <w:gridCol w:w="492"/>
        <w:gridCol w:w="301"/>
        <w:gridCol w:w="303"/>
        <w:gridCol w:w="109"/>
        <w:gridCol w:w="109"/>
        <w:gridCol w:w="109"/>
        <w:gridCol w:w="322"/>
        <w:gridCol w:w="324"/>
        <w:gridCol w:w="203"/>
        <w:gridCol w:w="109"/>
        <w:gridCol w:w="109"/>
        <w:gridCol w:w="109"/>
        <w:gridCol w:w="212"/>
        <w:gridCol w:w="359"/>
        <w:gridCol w:w="120"/>
        <w:gridCol w:w="109"/>
        <w:gridCol w:w="109"/>
        <w:gridCol w:w="109"/>
        <w:gridCol w:w="278"/>
        <w:gridCol w:w="278"/>
        <w:gridCol w:w="196"/>
        <w:gridCol w:w="109"/>
        <w:gridCol w:w="109"/>
        <w:gridCol w:w="109"/>
        <w:gridCol w:w="196"/>
        <w:gridCol w:w="661"/>
        <w:gridCol w:w="109"/>
        <w:gridCol w:w="109"/>
        <w:gridCol w:w="109"/>
        <w:gridCol w:w="109"/>
        <w:gridCol w:w="196"/>
        <w:gridCol w:w="736"/>
        <w:gridCol w:w="109"/>
        <w:gridCol w:w="109"/>
        <w:gridCol w:w="109"/>
        <w:gridCol w:w="109"/>
        <w:gridCol w:w="196"/>
        <w:gridCol w:w="736"/>
        <w:gridCol w:w="109"/>
        <w:gridCol w:w="109"/>
        <w:gridCol w:w="109"/>
        <w:gridCol w:w="109"/>
        <w:gridCol w:w="246"/>
        <w:gridCol w:w="832"/>
        <w:gridCol w:w="138"/>
        <w:gridCol w:w="109"/>
        <w:gridCol w:w="109"/>
        <w:gridCol w:w="109"/>
        <w:gridCol w:w="203"/>
        <w:gridCol w:w="763"/>
        <w:gridCol w:w="160"/>
      </w:tblGrid>
      <w:tr>
        <w:trPr/>
        <w:tc>
          <w:tcPr>
            <w:tcW w:w="49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(13,918)</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212,530 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payments for stock 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($0.12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adjustment,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38,157 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(11,268)</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231,119 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payments for stock 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($0.12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adjustment,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38,251 </w:t>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(47,380)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(5,745)</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242,507 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OneSpan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999" w:type="dxa"/>
        <w:jc w:val="left"/>
        <w:tblInd w:w="0" w:type="dxa"/>
        <w:tblLayout w:type="fixed"/>
        <w:tblCellMar>
          <w:top w:w="28" w:type="dxa"/>
          <w:left w:w="28" w:type="dxa"/>
          <w:bottom w:w="28" w:type="dxa"/>
          <w:right w:w="28" w:type="dxa"/>
        </w:tblCellMar>
      </w:tblPr>
      <w:tblGrid>
        <w:gridCol w:w="2309"/>
        <w:gridCol w:w="2024"/>
        <w:gridCol w:w="2041"/>
        <w:gridCol w:w="196"/>
        <w:gridCol w:w="646"/>
        <w:gridCol w:w="109"/>
        <w:gridCol w:w="109"/>
        <w:gridCol w:w="109"/>
        <w:gridCol w:w="109"/>
        <w:gridCol w:w="196"/>
        <w:gridCol w:w="646"/>
        <w:gridCol w:w="505"/>
      </w:tblGrid>
      <w:tr>
        <w:trPr/>
        <w:tc>
          <w:tcPr>
            <w:tcW w:w="2309"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22,847 </w:t>
            </w:r>
          </w:p>
        </w:tc>
        <w:tc>
          <w:tcPr>
            <w:tcW w:w="505"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from operations to net cash provided by operations: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02"/>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4,585 </w:t>
            </w:r>
          </w:p>
        </w:tc>
        <w:tc>
          <w:tcPr>
            <w:tcW w:w="505" w:type="dxa"/>
            <w:tcBorders/>
            <w:shd w:fill="FFFFFF" w:val="clear"/>
            <w:tcMar>
              <w:top w:w="0" w:type="dxa"/>
              <w:left w:w="0" w:type="dxa"/>
              <w:bottom w:w="0" w:type="dxa"/>
              <w:right w:w="0" w:type="dxa"/>
            </w:tcMar>
            <w:vAlign w:val="center"/>
          </w:tcPr>
          <w:p>
            <w:pPr>
              <w:pStyle w:val="TableContents"/>
              <w:bidi w:val="0"/>
              <w:spacing w:before="0" w:after="283"/>
              <w:ind w:left="0" w:right="0" w:firstLine="302"/>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 of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CCEEFF" w:val="clear"/>
            <w:tcMar>
              <w:top w:w="0" w:type="dxa"/>
              <w:left w:w="0" w:type="dxa"/>
              <w:bottom w:w="0" w:type="dxa"/>
              <w:right w:w="0" w:type="dxa"/>
            </w:tcMar>
            <w:vAlign w:val="center"/>
          </w:tcPr>
          <w:p>
            <w:pPr>
              <w:pStyle w:val="TableContents"/>
              <w:bidi w:val="0"/>
              <w:spacing w:before="0" w:after="283"/>
              <w:ind w:left="0" w:right="0" w:firstLine="302"/>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asset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ind w:left="0" w:right="0" w:firstLine="302"/>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(benefit)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505" w:type="dxa"/>
            <w:tcBorders/>
            <w:shd w:fill="CCEEFF" w:val="clear"/>
            <w:tcMar>
              <w:top w:w="0" w:type="dxa"/>
              <w:left w:w="0" w:type="dxa"/>
              <w:bottom w:w="0" w:type="dxa"/>
              <w:right w:w="0" w:type="dxa"/>
            </w:tcMar>
            <w:vAlign w:val="center"/>
          </w:tcPr>
          <w:p>
            <w:pPr>
              <w:pStyle w:val="TableContents"/>
              <w:bidi w:val="0"/>
              <w:spacing w:before="0" w:after="283"/>
              <w:ind w:left="0" w:right="0" w:firstLine="302"/>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6,227 </w:t>
            </w:r>
          </w:p>
        </w:tc>
        <w:tc>
          <w:tcPr>
            <w:tcW w:w="505" w:type="dxa"/>
            <w:tcBorders/>
            <w:shd w:fill="FFFFFF" w:val="clear"/>
            <w:tcMar>
              <w:top w:w="0" w:type="dxa"/>
              <w:left w:w="0" w:type="dxa"/>
              <w:bottom w:w="0" w:type="dxa"/>
              <w:right w:w="0" w:type="dxa"/>
            </w:tcMar>
            <w:vAlign w:val="center"/>
          </w:tcPr>
          <w:p>
            <w:pPr>
              <w:pStyle w:val="TableContents"/>
              <w:bidi w:val="0"/>
              <w:spacing w:before="0" w:after="283"/>
              <w:ind w:left="0" w:right="0" w:firstLine="302"/>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Recovery of credit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505" w:type="dxa"/>
            <w:tcBorders/>
            <w:shd w:fill="CCEEFF" w:val="clear"/>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the effects from acquisition: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74"/>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24,875 </w:t>
            </w:r>
          </w:p>
        </w:tc>
        <w:tc>
          <w:tcPr>
            <w:tcW w:w="505" w:type="dxa"/>
            <w:tcBorders/>
            <w:shd w:fill="CCEEFF" w:val="clear"/>
            <w:tcMar>
              <w:top w:w="0" w:type="dxa"/>
              <w:left w:w="0" w:type="dxa"/>
              <w:bottom w:w="0" w:type="dxa"/>
              <w:right w:w="0" w:type="dxa"/>
            </w:tcMar>
            <w:vAlign w:val="center"/>
          </w:tcPr>
          <w:p>
            <w:pPr>
              <w:pStyle w:val="TableContents"/>
              <w:bidi w:val="0"/>
              <w:spacing w:before="0" w:after="283"/>
              <w:ind w:left="0" w:right="0" w:firstLine="374"/>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505" w:type="dxa"/>
            <w:tcBorders/>
            <w:shd w:fill="FFFFFF" w:val="clear"/>
            <w:tcMar>
              <w:top w:w="0" w:type="dxa"/>
              <w:left w:w="0" w:type="dxa"/>
              <w:bottom w:w="0" w:type="dxa"/>
              <w:right w:w="0" w:type="dxa"/>
            </w:tcMar>
            <w:vAlign w:val="center"/>
          </w:tcPr>
          <w:p>
            <w:pPr>
              <w:pStyle w:val="TableContents"/>
              <w:bidi w:val="0"/>
              <w:spacing w:before="0" w:after="283"/>
              <w:ind w:left="0" w:right="0" w:firstLine="374"/>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w:t>
            </w:r>
          </w:p>
        </w:tc>
        <w:tc>
          <w:tcPr>
            <w:tcW w:w="505" w:type="dxa"/>
            <w:tcBorders/>
            <w:shd w:fill="CCEEFF" w:val="clear"/>
            <w:tcMar>
              <w:top w:w="0" w:type="dxa"/>
              <w:left w:w="0" w:type="dxa"/>
              <w:bottom w:w="0" w:type="dxa"/>
              <w:right w:w="0" w:type="dxa"/>
            </w:tcMar>
            <w:vAlign w:val="center"/>
          </w:tcPr>
          <w:p>
            <w:pPr>
              <w:pStyle w:val="TableContents"/>
              <w:bidi w:val="0"/>
              <w:spacing w:before="0" w:after="283"/>
              <w:ind w:left="0" w:right="0" w:firstLine="374"/>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1,296 </w:t>
            </w:r>
          </w:p>
        </w:tc>
        <w:tc>
          <w:tcPr>
            <w:tcW w:w="505" w:type="dxa"/>
            <w:tcBorders/>
            <w:shd w:fill="FFFFFF" w:val="clear"/>
            <w:tcMar>
              <w:top w:w="0" w:type="dxa"/>
              <w:left w:w="0" w:type="dxa"/>
              <w:bottom w:w="0" w:type="dxa"/>
              <w:right w:w="0" w:type="dxa"/>
            </w:tcMar>
            <w:vAlign w:val="center"/>
          </w:tcPr>
          <w:p>
            <w:pPr>
              <w:pStyle w:val="TableContents"/>
              <w:bidi w:val="0"/>
              <w:spacing w:before="0" w:after="283"/>
              <w:ind w:left="0" w:right="0" w:firstLine="374"/>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1,109 </w:t>
            </w:r>
          </w:p>
        </w:tc>
        <w:tc>
          <w:tcPr>
            <w:tcW w:w="505" w:type="dxa"/>
            <w:tcBorders/>
            <w:shd w:fill="CCEEFF" w:val="clear"/>
            <w:tcMar>
              <w:top w:w="0" w:type="dxa"/>
              <w:left w:w="0" w:type="dxa"/>
              <w:bottom w:w="0" w:type="dxa"/>
              <w:right w:w="0" w:type="dxa"/>
            </w:tcMar>
            <w:vAlign w:val="center"/>
          </w:tcPr>
          <w:p>
            <w:pPr>
              <w:pStyle w:val="TableContents"/>
              <w:bidi w:val="0"/>
              <w:spacing w:before="0" w:after="283"/>
              <w:ind w:left="0" w:right="0" w:firstLine="374"/>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(4,983)</w:t>
            </w:r>
          </w:p>
        </w:tc>
        <w:tc>
          <w:tcPr>
            <w:tcW w:w="505" w:type="dxa"/>
            <w:tcBorders/>
            <w:shd w:fill="FFFFFF" w:val="clear"/>
            <w:tcMar>
              <w:top w:w="0" w:type="dxa"/>
              <w:left w:w="0" w:type="dxa"/>
              <w:bottom w:w="0" w:type="dxa"/>
              <w:right w:w="0" w:type="dxa"/>
            </w:tcMar>
            <w:vAlign w:val="center"/>
          </w:tcPr>
          <w:p>
            <w:pPr>
              <w:pStyle w:val="TableContents"/>
              <w:bidi w:val="0"/>
              <w:spacing w:before="0" w:after="283"/>
              <w:ind w:left="0" w:right="0" w:firstLine="374"/>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505" w:type="dxa"/>
            <w:tcBorders/>
            <w:shd w:fill="CCEEFF" w:val="clear"/>
            <w:tcMar>
              <w:top w:w="0" w:type="dxa"/>
              <w:left w:w="0" w:type="dxa"/>
              <w:bottom w:w="0" w:type="dxa"/>
              <w:right w:w="0" w:type="dxa"/>
            </w:tcMar>
            <w:vAlign w:val="center"/>
          </w:tcPr>
          <w:p>
            <w:pPr>
              <w:pStyle w:val="TableContents"/>
              <w:bidi w:val="0"/>
              <w:spacing w:before="0" w:after="283"/>
              <w:ind w:left="0" w:right="0" w:firstLine="374"/>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(17,994)</w:t>
            </w:r>
          </w:p>
        </w:tc>
        <w:tc>
          <w:tcPr>
            <w:tcW w:w="505" w:type="dxa"/>
            <w:tcBorders/>
            <w:shd w:fill="FFFFFF" w:val="clear"/>
            <w:tcMar>
              <w:top w:w="0" w:type="dxa"/>
              <w:left w:w="0" w:type="dxa"/>
              <w:bottom w:w="0" w:type="dxa"/>
              <w:right w:w="0" w:type="dxa"/>
            </w:tcMar>
            <w:vAlign w:val="center"/>
          </w:tcPr>
          <w:p>
            <w:pPr>
              <w:pStyle w:val="TableContents"/>
              <w:bidi w:val="0"/>
              <w:spacing w:before="0" w:after="283"/>
              <w:ind w:left="0" w:right="0" w:firstLine="374"/>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35,583 </w:t>
            </w:r>
          </w:p>
        </w:tc>
        <w:tc>
          <w:tcPr>
            <w:tcW w:w="5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ind w:left="0" w:right="0" w:firstLine="86"/>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(3,483)</w:t>
            </w:r>
          </w:p>
        </w:tc>
        <w:tc>
          <w:tcPr>
            <w:tcW w:w="505" w:type="dxa"/>
            <w:tcBorders/>
            <w:shd w:fill="CCEE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05"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acquisition of business, net of cash acquired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(12,052)</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(15,540)</w:t>
            </w:r>
          </w:p>
        </w:tc>
        <w:tc>
          <w:tcPr>
            <w:tcW w:w="5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(9,196)</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ind w:left="0" w:right="0" w:firstLine="86"/>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w:t>
            </w:r>
          </w:p>
        </w:tc>
        <w:tc>
          <w:tcPr>
            <w:tcW w:w="505"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from credit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CCEE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payments for restricted stock issuances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w:t>
            </w:r>
          </w:p>
        </w:tc>
        <w:tc>
          <w:tcPr>
            <w:tcW w:w="505"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(12,167)</w:t>
            </w:r>
          </w:p>
        </w:tc>
        <w:tc>
          <w:tcPr>
            <w:tcW w:w="5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9,555 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83,331 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92,886 </w:t>
            </w:r>
          </w:p>
        </w:tc>
        <w:tc>
          <w:tcPr>
            <w:tcW w:w="5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OneSpan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Unless otherwise noted, references in this Quarterly Report on Form 10-Q to “OneSpan,” “Company,” “we,” “our,” and “us,” refer to OneSpan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Note 1 – Description of the Company and Basis of Presentation </w:t>
        <w:br/>
      </w:r>
      <w:r>
        <w:rPr>
          <w:rFonts w:ascii="Times New Roman;serif" w:hAnsi="Times New Roman;serif"/>
          <w:b/>
          <w:i/>
          <w:color w:val="000000"/>
          <w:sz w:val="20"/>
        </w:rPr>
        <w:br/>
        <w:t>Description of the Company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OneSpan helps organizations build secure, seamless, and trusted digital experiences through two solution portfolios: Cybersecurity and Digital Agreements. Our cybersecurity solutions protect identities, secure mobile apps, and safeguard access through advanced high-assurance authentication, threat intelligence, fraud prevention, and mobile app protection, defending users, devices, and applications against sophisticated attacks. Our digital agreement solutions streamline agreement workflows with secure e-signatures, identity verification, and smart digital forms, built to enable speed, compliance and exceptional customer experiences. Trusted by leading global enterprises, including more than 60% of the world’s 100 largest banks, OneSpan processes over a hundred million digital agreements and billions of secure authentication transactions across more than 120 countries each year. OneSpan has operations in Austria, Australia, Belgium, Canada, China, France, Germany, Japan, The Netherlands, Singapore, Spain, Switzerland, the United Arab Emirates, the United Kingdom (U.K.), and the United States (U.S.).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Dividends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the Company paid its quarterly cash dividend declared on April 30, 2026 as part of a recurring quarterly dividend program. The quarterly cash dividend of $0.13 per share was paid to shareholders of record as of the close of business on May 14, 2026. The declaration and payment of future dividends is subject to the sole discretion of the Board of Directors.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repurchased 0.2 million shares of its common stock for $2.9 million under its new share repurchase program adopted in May 2026. As of June 30, 2026, approximately $47.1 million remained available for potential future repurchases under the repurchase program.</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include the accounts of OneSpan and have been prepared pursuant to the rules and regulations of the Securities and Exchange Commission (“SEC”) regarding interim financial reporting. Accordingly, they do not include all of the information and notes required by generally accepted accounting principles in the United States of America (“U.S. GAAP”) for complete financial statements and should be read in conjunction with the audited consolidated financial statements included in the Company’s Annual Report on Form 10-K for the year ended December 31,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opinion of management, the accompanying unaudited condensed consolidated financial statements have been prepared on the same basis as the audited consolidated financial statements, and include all adjustments, consisting only of normal recurring adjustments, necessary for the fair presentation of the results of the interim periods presented. Operating results for the three and six months ended June 30, 2026 are not necessarily indicative of the results to be expected for any future period or the entire fiscal year.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All intercompany accounts and transactions have been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Estimates and Assumptions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Foreign Currency Translation and Transactions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financial position and results of operations of the majority of the Company’s foreign subsidiaries are measured using the local currency as the functional currency. Accordingly, assets and liabilities are translated into U.S. Dollars using current exchange rates as of the balance sheet date. Revenue and expenses are translated at average exchange rates prevailing during the year. Translation adjustments arising from differences in exchange rates are charged or credited to other comprehensive income (loss). Gains and losses resulting from foreign currency transactions are included in the condensed consolidated statements of operations in other income (expense), net. Foreign exchange transaction losses aggregated to $0.2 million and $0.7 million for the three and six months ended June 30, 2026, respectively. Foreign exchange transaction losses aggregated to $1.0 million and $1.1 million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to the significant accounting policies described in the Annual Report on Form 10-K for the year ended December 31, 2025 filed with the SEC on February 26, 2026 that impact the Company’s condensed consolidated financial statements and related notes.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Other Accrued Expenses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accrued expenses consist of the following: </w:t>
      </w:r>
    </w:p>
    <w:tbl>
      <w:tblPr>
        <w:tblW w:w="6048" w:type="dxa"/>
        <w:jc w:val="left"/>
        <w:tblInd w:w="0" w:type="dxa"/>
        <w:tblLayout w:type="fixed"/>
        <w:tblCellMar>
          <w:top w:w="28" w:type="dxa"/>
          <w:left w:w="28" w:type="dxa"/>
          <w:bottom w:w="28" w:type="dxa"/>
          <w:right w:w="28" w:type="dxa"/>
        </w:tblCellMar>
      </w:tblPr>
      <w:tblGrid>
        <w:gridCol w:w="1026"/>
        <w:gridCol w:w="903"/>
        <w:gridCol w:w="905"/>
        <w:gridCol w:w="228"/>
        <w:gridCol w:w="779"/>
        <w:gridCol w:w="117"/>
        <w:gridCol w:w="109"/>
        <w:gridCol w:w="109"/>
        <w:gridCol w:w="109"/>
        <w:gridCol w:w="109"/>
        <w:gridCol w:w="109"/>
        <w:gridCol w:w="300"/>
        <w:gridCol w:w="1026"/>
        <w:gridCol w:w="219"/>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tax and VAT</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hold back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2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10,452 </w:t>
            </w:r>
          </w:p>
        </w:tc>
        <w:tc>
          <w:tcPr>
            <w:tcW w:w="1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11,859 </w:t>
            </w:r>
          </w:p>
        </w:tc>
        <w:tc>
          <w:tcPr>
            <w:tcW w:w="2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i/>
          <w:color w:val="000000"/>
          <w:sz w:val="20"/>
        </w:rPr>
        <w:t>Recently Issued Accounting Pronouncements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new accounting pronouncements are issued by the Financial Accounting Standards Board (FASB) or other standard setting bodies that are adopted by the Company as of the specified effective date.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In November 2024, the FASB issued ASU 2024-03, Comprehensive Income (Topic 220) –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to improve financial reporting by requiring disclosures in the notes to financial statements about specific types of expenses included in the expense captions presented on the face of the statement of operations. The requirements of the ASU are effective for annual reporting periods beginning after December 15, 2026, and for interim reporting periods beginning after December 15, 2027, with early adoption permitted. The requirements are able to be applied prospectively with the option for retrospective application. The Company is evaluating the impact the adoption of this guidance will have on its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68" w:before="240" w:after="283"/>
        <w:ind w:left="0" w:right="0" w:firstLine="720"/>
        <w:jc w:val="both"/>
        <w:rPr/>
      </w:pPr>
      <w:r>
        <w:rPr>
          <w:rFonts w:ascii="Times New Roman;serif" w:hAnsi="Times New Roman;serif"/>
          <w:b w:val="false"/>
          <w:color w:val="000000"/>
          <w:sz w:val="20"/>
        </w:rPr>
        <w:t xml:space="preserve">In September 2025, the FASB issued ASU 2025-06, Intangible – Goodwill and Other – Internal–Use Software (Subtopic 350-40) – </w:t>
      </w:r>
      <w:r>
        <w:rPr>
          <w:rFonts w:ascii="Times New Roman;serif" w:hAnsi="Times New Roman;serif"/>
          <w:b w:val="false"/>
          <w:i/>
          <w:color w:val="000000"/>
          <w:sz w:val="20"/>
        </w:rPr>
        <w:t xml:space="preserve">Targeted Improvements to the Accounting for Internal Use Software, </w:t>
      </w:r>
      <w:r>
        <w:rPr>
          <w:rFonts w:ascii="Times New Roman;serif" w:hAnsi="Times New Roman;serif"/>
          <w:b w:val="false"/>
          <w:color w:val="000000"/>
          <w:sz w:val="20"/>
        </w:rPr>
        <w:t xml:space="preserve">to improve the guidance for the costs to develop software for internal use. Within the updated guidance, the FASB removed reference to prescriptive sequential software development stages. Instead, management will begin capitalizing eligible costs when (i) management has authorized and committed to funding the software project, and (ii) it is probable that the project will be completed and the software will be used to perform the function intended. This update is effective for annual reporting periods beginning after December 15, 2027. This update can be applied on a prospective basis, on a modified basis for in-process projects, or on a retrospective basis. The Company is evaluating the impact the adoption of this guidance will have on its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3 – Segment Information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Segments are defined as components of a company that engage in business activities from which they may earn revenues and incur expenses, and for which separate financial information is available and regularly provided to the chief operating decision maker (CODM), in deciding how to allocate resources and in assessing performance. The Company’s CODM is its Chief Executive Officer. The Company's reportable segments are business units that offer different products and services and are as follows:</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Cybersecurity</w:t>
      </w:r>
      <w:r>
        <w:rPr>
          <w:rFonts w:ascii="Times New Roman;serif" w:hAnsi="Times New Roman;serif"/>
          <w:b w:val="false"/>
          <w:color w:val="000000"/>
          <w:sz w:val="20"/>
        </w:rPr>
        <w:t xml:space="preserve">. Cybersecurity, formerly Security Solutions, consists of our broad portfolio of software products, software development kits ("SDKs") and Digipass authenticator devices that are used to build applications designed to defend against attacks on digital transactions across online environments, devices, and applications. The software products and SDKs included in the Cybersecurity segment are delivered through on-premises and cloud-based deployment models and include standards-based authentication technologies such as Fast Identity Online ("FIDO") authentication and passkeys, multi-factor authentication, transaction signing solutions and mobile application security. </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 xml:space="preserve">Digital Agreements. </w:t>
      </w:r>
      <w:r>
        <w:rPr>
          <w:rFonts w:ascii="Times New Roman;serif" w:hAnsi="Times New Roman;serif"/>
          <w:b w:val="false"/>
          <w:color w:val="000000"/>
          <w:sz w:val="20"/>
        </w:rPr>
        <w:t xml:space="preserve">Digital Agreements consists of solutions that enable our clients to secure and automate business processes associated with their digital agreement and customer transaction lifecycles that require consent, non-repudiation and compliance. These solutions, which are cloud-based, include OneSpan Sign e-signature, OneSpan Notary, and Identity Verification.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Segment operating income (loss) consists of the revenues generated by a segment, less the direct costs of revenue, sales and marketing, research and development expenses, general and administrative expenses, restructuring and other related charges, and amortization of intangible assets expense that are incurred directly by a segment. Sales and marketing and research and development expenses were determined to be significant segment expenses. Unallocated corporate costs include costs related to administrative functions that are performed in a centralized manner that are not directly attributable to a particular segment.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tables below set forth information about the Company’s operating segments for the three and six months ended June 30, 2026 and 2025, along with the items necessary to reconcile the segment information to the totals reported in the accompanying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tbl>
      <w:tblPr>
        <w:tblW w:w="9536" w:type="dxa"/>
        <w:jc w:val="left"/>
        <w:tblInd w:w="0" w:type="dxa"/>
        <w:tblLayout w:type="fixed"/>
        <w:tblCellMar>
          <w:top w:w="28" w:type="dxa"/>
          <w:left w:w="28" w:type="dxa"/>
          <w:bottom w:w="28" w:type="dxa"/>
          <w:right w:w="28" w:type="dxa"/>
        </w:tblCellMar>
      </w:tblPr>
      <w:tblGrid>
        <w:gridCol w:w="1064"/>
        <w:gridCol w:w="937"/>
        <w:gridCol w:w="939"/>
        <w:gridCol w:w="211"/>
        <w:gridCol w:w="721"/>
        <w:gridCol w:w="271"/>
        <w:gridCol w:w="109"/>
        <w:gridCol w:w="109"/>
        <w:gridCol w:w="109"/>
        <w:gridCol w:w="263"/>
        <w:gridCol w:w="899"/>
        <w:gridCol w:w="338"/>
        <w:gridCol w:w="109"/>
        <w:gridCol w:w="109"/>
        <w:gridCol w:w="109"/>
        <w:gridCol w:w="483"/>
        <w:gridCol w:w="931"/>
        <w:gridCol w:w="250"/>
        <w:gridCol w:w="109"/>
        <w:gridCol w:w="109"/>
        <w:gridCol w:w="109"/>
        <w:gridCol w:w="211"/>
        <w:gridCol w:w="721"/>
        <w:gridCol w:w="316"/>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19,538 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14,592 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75 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color w:val="000000"/>
              </w:rPr>
              <w:t xml:space="preserve"> </w:t>
            </w:r>
            <w:r>
              <w:rPr>
                <w:rFonts w:ascii="Times New Roman;serif" w:hAnsi="Times New Roman;serif"/>
                <w:b w:val="false"/>
                <w:color w:val="000000"/>
                <w:sz w:val="20"/>
              </w:rPr>
              <w:t>(1)(3)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 (2)(4)</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6,972 </w:t>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(12,050)</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8,741 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36" w:type="dxa"/>
        <w:jc w:val="left"/>
        <w:tblInd w:w="0" w:type="dxa"/>
        <w:tblLayout w:type="fixed"/>
        <w:tblCellMar>
          <w:top w:w="28" w:type="dxa"/>
          <w:left w:w="28" w:type="dxa"/>
          <w:bottom w:w="28" w:type="dxa"/>
          <w:right w:w="28" w:type="dxa"/>
        </w:tblCellMar>
      </w:tblPr>
      <w:tblGrid>
        <w:gridCol w:w="1064"/>
        <w:gridCol w:w="937"/>
        <w:gridCol w:w="939"/>
        <w:gridCol w:w="211"/>
        <w:gridCol w:w="721"/>
        <w:gridCol w:w="271"/>
        <w:gridCol w:w="109"/>
        <w:gridCol w:w="109"/>
        <w:gridCol w:w="109"/>
        <w:gridCol w:w="263"/>
        <w:gridCol w:w="899"/>
        <w:gridCol w:w="338"/>
        <w:gridCol w:w="109"/>
        <w:gridCol w:w="109"/>
        <w:gridCol w:w="109"/>
        <w:gridCol w:w="483"/>
        <w:gridCol w:w="931"/>
        <w:gridCol w:w="250"/>
        <w:gridCol w:w="109"/>
        <w:gridCol w:w="109"/>
        <w:gridCol w:w="109"/>
        <w:gridCol w:w="211"/>
        <w:gridCol w:w="721"/>
        <w:gridCol w:w="316"/>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15,608 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11,145 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71 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color w:val="000000"/>
              </w:rPr>
              <w:t xml:space="preserve"> </w:t>
            </w:r>
            <w:r>
              <w:rPr>
                <w:rFonts w:ascii="Times New Roman;serif" w:hAnsi="Times New Roman;serif"/>
                <w:b w:val="false"/>
                <w:color w:val="000000"/>
                <w:sz w:val="20"/>
              </w:rPr>
              <w:t>(1)(3)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 (2)(4)</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(12,172)</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10,569 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before="120" w:after="283"/>
        <w:jc w:val="left"/>
        <w:rPr/>
      </w:pPr>
      <w:r>
        <w:rPr/>
      </w:r>
    </w:p>
    <w:tbl>
      <w:tblPr>
        <w:tblW w:w="9641" w:type="dxa"/>
        <w:jc w:val="left"/>
        <w:tblInd w:w="0" w:type="dxa"/>
        <w:tblLayout w:type="fixed"/>
        <w:tblCellMar>
          <w:top w:w="28" w:type="dxa"/>
          <w:left w:w="28" w:type="dxa"/>
          <w:bottom w:w="28" w:type="dxa"/>
          <w:right w:w="28" w:type="dxa"/>
        </w:tblCellMar>
      </w:tblPr>
      <w:tblGrid>
        <w:gridCol w:w="1064"/>
        <w:gridCol w:w="937"/>
        <w:gridCol w:w="939"/>
        <w:gridCol w:w="211"/>
        <w:gridCol w:w="721"/>
        <w:gridCol w:w="271"/>
        <w:gridCol w:w="109"/>
        <w:gridCol w:w="109"/>
        <w:gridCol w:w="109"/>
        <w:gridCol w:w="263"/>
        <w:gridCol w:w="899"/>
        <w:gridCol w:w="338"/>
        <w:gridCol w:w="109"/>
        <w:gridCol w:w="109"/>
        <w:gridCol w:w="109"/>
        <w:gridCol w:w="483"/>
        <w:gridCol w:w="931"/>
        <w:gridCol w:w="250"/>
        <w:gridCol w:w="109"/>
        <w:gridCol w:w="109"/>
        <w:gridCol w:w="109"/>
        <w:gridCol w:w="211"/>
        <w:gridCol w:w="826"/>
        <w:gridCol w:w="316"/>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89,475 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36,938 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126,413 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9,739 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27,199 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92,997 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segment items (1)(3)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 (2)(4)</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12,254 </w:t>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23,558 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23,046 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9641" w:type="dxa"/>
        <w:jc w:val="left"/>
        <w:tblInd w:w="0" w:type="dxa"/>
        <w:tblLayout w:type="fixed"/>
        <w:tblCellMar>
          <w:top w:w="28" w:type="dxa"/>
          <w:left w:w="28" w:type="dxa"/>
          <w:bottom w:w="28" w:type="dxa"/>
          <w:right w:w="28" w:type="dxa"/>
        </w:tblCellMar>
      </w:tblPr>
      <w:tblGrid>
        <w:gridCol w:w="1064"/>
        <w:gridCol w:w="937"/>
        <w:gridCol w:w="939"/>
        <w:gridCol w:w="211"/>
        <w:gridCol w:w="721"/>
        <w:gridCol w:w="271"/>
        <w:gridCol w:w="109"/>
        <w:gridCol w:w="109"/>
        <w:gridCol w:w="109"/>
        <w:gridCol w:w="263"/>
        <w:gridCol w:w="899"/>
        <w:gridCol w:w="338"/>
        <w:gridCol w:w="109"/>
        <w:gridCol w:w="109"/>
        <w:gridCol w:w="109"/>
        <w:gridCol w:w="483"/>
        <w:gridCol w:w="931"/>
        <w:gridCol w:w="250"/>
        <w:gridCol w:w="109"/>
        <w:gridCol w:w="109"/>
        <w:gridCol w:w="109"/>
        <w:gridCol w:w="211"/>
        <w:gridCol w:w="826"/>
        <w:gridCol w:w="316"/>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91,948 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31,261 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123,209 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22,151 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91,058 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71 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segment items (1)(3)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 (2)(4)</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6,245 </w:t>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(22,515)</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27,688 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28,434 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*Percentage not meaningful.</w:t>
      </w:r>
    </w:p>
    <w:p>
      <w:pPr>
        <w:pStyle w:val="TextBody"/>
        <w:bidi w:val="0"/>
        <w:spacing w:lineRule="auto" w:line="288" w:before="120" w:after="283"/>
        <w:jc w:val="both"/>
        <w:rPr/>
      </w:pPr>
      <w:r>
        <w:rPr>
          <w:rFonts w:ascii="Times New Roman;serif" w:hAnsi="Times New Roman;serif"/>
          <w:b w:val="false"/>
          <w:color w:val="000000"/>
          <w:sz w:val="20"/>
        </w:rPr>
        <w:t xml:space="preserve">(1) </w:t>
      </w:r>
      <w:r>
        <w:rPr>
          <w:rFonts w:ascii="Times New Roman;serif" w:hAnsi="Times New Roman;serif"/>
          <w:b w:val="false"/>
          <w:color w:val="000000"/>
          <w:sz w:val="20"/>
          <w:shd w:fill="FFFFFF" w:val="clear"/>
        </w:rPr>
        <w:t xml:space="preserve">Cybersecurity other segment items includes general and administrative expense and </w:t>
      </w:r>
      <w:r>
        <w:rPr>
          <w:rFonts w:ascii="Times New Roman;serif" w:hAnsi="Times New Roman;serif"/>
          <w:b w:val="false"/>
          <w:color w:val="000000"/>
          <w:sz w:val="20"/>
        </w:rPr>
        <w:t xml:space="preserve">amortization of intangibles </w:t>
      </w:r>
      <w:r>
        <w:rPr>
          <w:rFonts w:ascii="Times New Roman;serif" w:hAnsi="Times New Roman;serif"/>
          <w:b w:val="false"/>
          <w:color w:val="000000"/>
          <w:sz w:val="20"/>
          <w:shd w:fill="FFFFFF" w:val="clear"/>
        </w:rPr>
        <w:t xml:space="preserve">for the three months ended </w:t>
      </w:r>
      <w:r>
        <w:rPr>
          <w:rFonts w:ascii="Times New Roman;serif" w:hAnsi="Times New Roman;serif"/>
          <w:b w:val="false"/>
          <w:color w:val="000000"/>
          <w:sz w:val="20"/>
        </w:rPr>
        <w:t xml:space="preserve">June 30, 2026, and </w:t>
      </w:r>
      <w:r>
        <w:rPr>
          <w:rFonts w:ascii="Times New Roman;serif" w:hAnsi="Times New Roman;serif"/>
          <w:b w:val="false"/>
          <w:color w:val="000000"/>
          <w:sz w:val="20"/>
          <w:shd w:fill="FFFFFF" w:val="clear"/>
        </w:rPr>
        <w:t xml:space="preserve">general and administrative expense, write-off of assets, and </w:t>
      </w:r>
      <w:r>
        <w:rPr>
          <w:rFonts w:ascii="Times New Roman;serif" w:hAnsi="Times New Roman;serif"/>
          <w:b w:val="false"/>
          <w:color w:val="000000"/>
          <w:sz w:val="20"/>
        </w:rPr>
        <w:t xml:space="preserve">amortization of intangibles </w:t>
      </w:r>
      <w:r>
        <w:rPr>
          <w:rFonts w:ascii="Times New Roman;serif" w:hAnsi="Times New Roman;serif"/>
          <w:b w:val="false"/>
          <w:color w:val="000000"/>
          <w:sz w:val="20"/>
          <w:shd w:fill="FFFFFF" w:val="clear"/>
        </w:rPr>
        <w:t xml:space="preserve">for the six months ended </w:t>
      </w:r>
      <w:r>
        <w:rPr>
          <w:rFonts w:ascii="Times New Roman;serif" w:hAnsi="Times New Roman;serif"/>
          <w:b w:val="false"/>
          <w:color w:val="000000"/>
          <w:sz w:val="20"/>
        </w:rPr>
        <w:t>June 30, 2026. Cybersecurity other segment items includes general and administrative expense and restructuring and other related charges for the three and six months ended June 30,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(2) Cybersecurity operating income includes $1.0 million and $1.7 million of total amortization and depreciation expense for the three and six months ended June 30, 2026, respectively. Cybersecurity operating income includes $0.2 million and $0.4 million of total amortization and depreciation expense for the three and six months ended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Cybersecurity operating income does not include any restructuring and other related charges for the three and six months ended June 30, 2026. Cybersecurity operating income includes $0.1 million and $0.2 million of restructuring and other related charges for the three and six months ended June 30, 2025, respectively. </w:t>
      </w:r>
    </w:p>
    <w:p>
      <w:pPr>
        <w:pStyle w:val="TextBody"/>
        <w:bidi w:val="0"/>
        <w:spacing w:lineRule="auto" w:line="288" w:before="120" w:after="283"/>
        <w:jc w:val="both"/>
        <w:rPr/>
      </w:pPr>
      <w:r>
        <w:rPr>
          <w:rFonts w:ascii="Times New Roman;serif" w:hAnsi="Times New Roman;serif"/>
          <w:b w:val="false"/>
          <w:color w:val="000000"/>
          <w:sz w:val="20"/>
        </w:rPr>
        <w:t xml:space="preserve">(3) Digital Agreements other segment items includes general and administrative expense and amortization of intangibles for the three and six months ended June 30, 2026. </w:t>
      </w:r>
      <w:r>
        <w:rPr>
          <w:rFonts w:ascii="Times New Roman;serif" w:hAnsi="Times New Roman;serif"/>
          <w:b w:val="false"/>
          <w:color w:val="000000"/>
          <w:sz w:val="20"/>
          <w:shd w:fill="FFFFFF" w:val="clear"/>
        </w:rPr>
        <w:t xml:space="preserve">Digital Agreements other segment items includes general and administrative expense and restructuring and other related charges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June 30,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(4) Digital Agreements operating income includes $2.2 million and $4.3 million of total amortization and depreciation expense for the three and six months ended June 30, 2026, respectively. Digital Agreements operating income includes $1.8 million and $3.5 million of total amortization and depreciation expense for the three and six months ended June 30, 2025, respectively.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Digital Agreements operating income does not include any restructuring and other related charges for the three and six months ended June 30, 2026.</w:t>
      </w:r>
    </w:p>
    <w:p>
      <w:pPr>
        <w:pStyle w:val="TextBody"/>
        <w:bidi w:val="0"/>
        <w:spacing w:lineRule="auto" w:line="288" w:before="120" w:after="283"/>
        <w:jc w:val="both"/>
        <w:rPr/>
      </w:pPr>
      <w:r>
        <w:rPr>
          <w:rFonts w:ascii="Times New Roman;serif" w:hAnsi="Times New Roman;serif"/>
          <w:b w:val="false"/>
          <w:color w:val="000000"/>
          <w:sz w:val="20"/>
        </w:rPr>
        <w:t>Digital Agreements operating income includes $0.1 million and</w:t>
      </w:r>
      <w:r>
        <w:rPr>
          <w:color w:val="000000"/>
        </w:rPr>
        <w:t xml:space="preserve"> </w:t>
      </w:r>
      <w:r>
        <w:rPr>
          <w:rFonts w:ascii="Times New Roman;serif" w:hAnsi="Times New Roman;serif"/>
          <w:b w:val="false"/>
          <w:color w:val="000000"/>
          <w:sz w:val="20"/>
        </w:rPr>
        <w:t>$0.2 million of restructuring and other related charges for the three and six months ended June 30, 2025, respectively.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illustrate the disaggregation of revenues by category and services, including a reconciliation of the disaggregated revenues to revenues from the Company’s two reportable operating segments for the three and six months ended June 30, 2026 and 2025:</w:t>
      </w:r>
    </w:p>
    <w:tbl>
      <w:tblPr>
        <w:tblW w:w="9278" w:type="dxa"/>
        <w:jc w:val="left"/>
        <w:tblInd w:w="0" w:type="dxa"/>
        <w:tblLayout w:type="fixed"/>
        <w:tblCellMar>
          <w:top w:w="28" w:type="dxa"/>
          <w:left w:w="28" w:type="dxa"/>
          <w:bottom w:w="28" w:type="dxa"/>
          <w:right w:w="28" w:type="dxa"/>
        </w:tblCellMar>
      </w:tblPr>
      <w:tblGrid>
        <w:gridCol w:w="1086"/>
        <w:gridCol w:w="956"/>
        <w:gridCol w:w="958"/>
        <w:gridCol w:w="228"/>
        <w:gridCol w:w="779"/>
        <w:gridCol w:w="119"/>
        <w:gridCol w:w="109"/>
        <w:gridCol w:w="109"/>
        <w:gridCol w:w="109"/>
        <w:gridCol w:w="304"/>
        <w:gridCol w:w="1039"/>
        <w:gridCol w:w="157"/>
        <w:gridCol w:w="109"/>
        <w:gridCol w:w="109"/>
        <w:gridCol w:w="109"/>
        <w:gridCol w:w="228"/>
        <w:gridCol w:w="779"/>
        <w:gridCol w:w="119"/>
        <w:gridCol w:w="109"/>
        <w:gridCol w:w="109"/>
        <w:gridCol w:w="109"/>
        <w:gridCol w:w="300"/>
        <w:gridCol w:w="1026"/>
        <w:gridCol w:w="219"/>
      </w:tblGrid>
      <w:tr>
        <w:trPr/>
        <w:tc>
          <w:tcPr>
            <w:tcW w:w="10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(1)</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15,599 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maintenance and services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products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40,928 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19,538 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44,235 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15,608 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78" w:type="dxa"/>
        <w:jc w:val="left"/>
        <w:tblInd w:w="0" w:type="dxa"/>
        <w:tblLayout w:type="fixed"/>
        <w:tblCellMar>
          <w:top w:w="28" w:type="dxa"/>
          <w:left w:w="28" w:type="dxa"/>
          <w:bottom w:w="28" w:type="dxa"/>
          <w:right w:w="28" w:type="dxa"/>
        </w:tblCellMar>
      </w:tblPr>
      <w:tblGrid>
        <w:gridCol w:w="1086"/>
        <w:gridCol w:w="956"/>
        <w:gridCol w:w="958"/>
        <w:gridCol w:w="228"/>
        <w:gridCol w:w="779"/>
        <w:gridCol w:w="119"/>
        <w:gridCol w:w="109"/>
        <w:gridCol w:w="109"/>
        <w:gridCol w:w="109"/>
        <w:gridCol w:w="304"/>
        <w:gridCol w:w="1039"/>
        <w:gridCol w:w="157"/>
        <w:gridCol w:w="109"/>
        <w:gridCol w:w="109"/>
        <w:gridCol w:w="109"/>
        <w:gridCol w:w="228"/>
        <w:gridCol w:w="779"/>
        <w:gridCol w:w="119"/>
        <w:gridCol w:w="109"/>
        <w:gridCol w:w="109"/>
        <w:gridCol w:w="109"/>
        <w:gridCol w:w="300"/>
        <w:gridCol w:w="1026"/>
        <w:gridCol w:w="219"/>
      </w:tblGrid>
      <w:tr>
        <w:trPr/>
        <w:tc>
          <w:tcPr>
            <w:tcW w:w="10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(1)</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31,168 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maintenance and services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products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89,475 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36,938 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91,948 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31,261 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(1) Cybersecurity Subscription revenue during the three and six months ended June 30, 2025 includes $5.9 million and $11.0 million, respectively, of term maintenance that has been reclassified from maintenance and services to align with the revised presentation of revenue described in Note 4 below. Digital Agreements Subscription revenue during the three and six months ended June 30, 2025 includes less than $0.1 million for all periods related to the reclassification from maintenance and services to align with the revised presentation of revenue.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Asset information by segment is not reported to or reviewed by the CODM to allocate resources, and therefore, the Company has not disclosed asset information for the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4 – Revenue from Contracts with Customers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revenues disaggregated by major products and services, geographical region and timing of revenue recognition. Certain prior period amounts for disaggregated revenues by major products and services have been reclassified to conform with the current year's presentation. The Company historically had reported revenue derived from maintenance contracts on an aggregated basis, encompassing maintenance associated with both perpetual license products and term</w:t>
        <w:noBreakHyphen/>
        <w:t>based license arrangements. In connection with the Company's strategic focus on expanding its subscription</w:t>
        <w:noBreakHyphen/>
        <w:t>based offerings and in response to changing customer purchasing preferences, an increasing proportion of customer contracts related to perpetual license products have transitioned to term</w:t>
        <w:noBreakHyphen/>
        <w:t>based contracts. As a result, the Company has revised its presentation within the revenue</w:t>
        <w:noBreakHyphen/>
        <w:t>by</w:t>
        <w:noBreakHyphen/>
        <w:t>products tables to include term-based maintenance revenue within subscription revenue. Additionally, maintenance revenue associated with perpetual licenses and services revenue are now presented together, which reflects the steady decline in perpetual license arrangements. This reclassification had no impact on total revenue, operating income, or cash flows, and prior period results have been updated for comparability.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 by major products and services</w:t>
      </w:r>
    </w:p>
    <w:tbl>
      <w:tblPr>
        <w:tblW w:w="8400" w:type="dxa"/>
        <w:jc w:val="left"/>
        <w:tblInd w:w="0" w:type="dxa"/>
        <w:tblLayout w:type="fixed"/>
        <w:tblCellMar>
          <w:top w:w="28" w:type="dxa"/>
          <w:left w:w="28" w:type="dxa"/>
          <w:bottom w:w="28" w:type="dxa"/>
          <w:right w:w="28" w:type="dxa"/>
        </w:tblCellMar>
      </w:tblPr>
      <w:tblGrid>
        <w:gridCol w:w="1086"/>
        <w:gridCol w:w="956"/>
        <w:gridCol w:w="958"/>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maintenance and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products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123,209 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(1) Subscription revenue during the three and six months ended June 30, 2025 includes $5.9 million and $11.0 million, respectively, of term maintenance revenue that has been reclassified from maintenance and services to align with the revised presentation of revenue described above. </w:t>
      </w:r>
    </w:p>
    <w:p>
      <w:pPr>
        <w:pStyle w:val="TextBody"/>
        <w:bidi w:val="0"/>
        <w:spacing w:lineRule="auto" w:line="288" w:before="240" w:after="283"/>
        <w:ind w:left="0" w:right="0" w:hanging="360"/>
        <w:jc w:val="left"/>
        <w:rPr>
          <w:rFonts w:ascii="Times New Roman;serif" w:hAnsi="Times New Roman;serif"/>
          <w:b/>
          <w:i/>
          <w:color w:val="000000"/>
          <w:sz w:val="20"/>
        </w:rPr>
      </w:pPr>
      <w:r>
        <w:rPr>
          <w:rFonts w:ascii="Times New Roman;serif" w:hAnsi="Times New Roman;serif"/>
          <w:b/>
          <w:i/>
          <w:color w:val="000000"/>
          <w:sz w:val="20"/>
        </w:rPr>
        <w:t>Revenue by location of customer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classify our sales by customer location in three geographic regions: 1) the Americas, which includes North, Central, and South America; 2) EMEA, which includes Europe, Middle East and Africa; and 3) Asia Pacific (APAC), which includes Australia and New Zealand. The breakdown of revenue in each of our major geographic areas was as follows:</w:t>
      </w:r>
    </w:p>
    <w:tbl>
      <w:tblPr>
        <w:tblW w:w="8988" w:type="dxa"/>
        <w:jc w:val="left"/>
        <w:tblInd w:w="0" w:type="dxa"/>
        <w:tblLayout w:type="fixed"/>
        <w:tblCellMar>
          <w:top w:w="28" w:type="dxa"/>
          <w:left w:w="28" w:type="dxa"/>
          <w:bottom w:w="28" w:type="dxa"/>
          <w:right w:w="28" w:type="dxa"/>
        </w:tblCellMar>
      </w:tblPr>
      <w:tblGrid>
        <w:gridCol w:w="1064"/>
        <w:gridCol w:w="937"/>
        <w:gridCol w:w="939"/>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126,413 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123,209 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Total Revenue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Timing of revenue recognition </w:t>
      </w:r>
    </w:p>
    <w:tbl>
      <w:tblPr>
        <w:tblW w:w="9820" w:type="dxa"/>
        <w:jc w:val="left"/>
        <w:tblInd w:w="0" w:type="dxa"/>
        <w:tblLayout w:type="fixed"/>
        <w:tblCellMar>
          <w:top w:w="28" w:type="dxa"/>
          <w:left w:w="28" w:type="dxa"/>
          <w:bottom w:w="28" w:type="dxa"/>
          <w:right w:w="28" w:type="dxa"/>
        </w:tblCellMar>
      </w:tblPr>
      <w:tblGrid>
        <w:gridCol w:w="1515"/>
        <w:gridCol w:w="1333"/>
        <w:gridCol w:w="1336"/>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390"/>
      </w:tblGrid>
      <w:tr>
        <w:trPr/>
        <w:tc>
          <w:tcPr>
            <w:tcW w:w="151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 and licenses transferred at a point in time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69,477 </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transferred over time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53,732 </w:t>
            </w:r>
          </w:p>
        </w:tc>
        <w:tc>
          <w:tcPr>
            <w:tcW w:w="390" w:type="dxa"/>
            <w:tcBorders/>
            <w:shd w:fill="FFFFFF" w:val="clear"/>
            <w:tcMar>
              <w:top w:w="0" w:type="dxa"/>
              <w:left w:w="0" w:type="dxa"/>
              <w:bottom w:w="0" w:type="dxa"/>
              <w:right w:w="0" w:type="dxa"/>
            </w:tcMar>
            <w:vAlign w:val="center"/>
          </w:tcPr>
          <w:p>
            <w:pPr>
              <w:pStyle w:val="TableContents"/>
              <w:bidi w:val="0"/>
              <w:spacing w:before="0" w:after="283"/>
              <w:ind w:left="0" w:right="0" w:firstLine="259"/>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123,209 </w:t>
            </w:r>
          </w:p>
        </w:tc>
        <w:tc>
          <w:tcPr>
            <w:tcW w:w="3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Contract balances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receivables, contract assets, and contract liabilities from contracts with customers as of June 30, 2026 and December 31, 2025:</w:t>
      </w:r>
    </w:p>
    <w:tbl>
      <w:tblPr>
        <w:tblW w:w="7787" w:type="dxa"/>
        <w:jc w:val="left"/>
        <w:tblInd w:w="0" w:type="dxa"/>
        <w:tblLayout w:type="fixed"/>
        <w:tblCellMar>
          <w:top w:w="28" w:type="dxa"/>
          <w:left w:w="28" w:type="dxa"/>
          <w:bottom w:w="28" w:type="dxa"/>
          <w:right w:w="28" w:type="dxa"/>
        </w:tblCellMar>
      </w:tblPr>
      <w:tblGrid>
        <w:gridCol w:w="1912"/>
        <w:gridCol w:w="1682"/>
        <w:gridCol w:w="1686"/>
        <w:gridCol w:w="211"/>
        <w:gridCol w:w="721"/>
        <w:gridCol w:w="109"/>
        <w:gridCol w:w="109"/>
        <w:gridCol w:w="109"/>
        <w:gridCol w:w="109"/>
        <w:gridCol w:w="221"/>
        <w:gridCol w:w="757"/>
        <w:gridCol w:w="161"/>
      </w:tblGrid>
      <w:tr>
        <w:trPr/>
        <w:tc>
          <w:tcPr>
            <w:tcW w:w="1912"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inclusive of trade and unbilled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55,999 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(current and non-current)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(Deferred Revenue current and non-current)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Contract assets relate primarily to multi-year term license arrangements and the remaining contractual billings. These contract assets are transferred to receivables when the right to bill occurs over a 2 to 5 year period. The contract liabilities primarily relate to the advance consideration received from customers for subscription and maintenance services. Revenue is recognized for these services over time.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practical expedient, the Company does not adjust the promised amount of consideration for the effects of a significant financing component when it is expected, at contract inception, that the period between the Company's transfer of a promised product or service to a customer and when the customer pays for that product or service will be one year or less. Extended payment terms are not typically included in contracts with customers.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recognized during the six months ended June 30, 2026 included $52.3 million that was included on the December 31, 2025 consolidated balance sheet in contract liabilities. Deferred revenue decreased in the same period due to timing of annual renewals.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Transaction price allocated to the remaining performance obligations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revenue that is expected to be recognized in future periods related to performance obligations that are unsatisfied, or partially unsatisfied, as of the end of the period. The following table includes expected revenue to be recognized in the future related to performance obligations that are unsatisfied (or partially unsatisfied) as of June 30, 2026:</w:t>
      </w:r>
    </w:p>
    <w:tbl>
      <w:tblPr>
        <w:tblW w:w="10205" w:type="dxa"/>
        <w:jc w:val="left"/>
        <w:tblInd w:w="0" w:type="dxa"/>
        <w:tblLayout w:type="fixed"/>
        <w:tblCellMar>
          <w:top w:w="28" w:type="dxa"/>
          <w:left w:w="28" w:type="dxa"/>
          <w:bottom w:w="28" w:type="dxa"/>
          <w:right w:w="28" w:type="dxa"/>
        </w:tblCellMar>
      </w:tblPr>
      <w:tblGrid>
        <w:gridCol w:w="1296"/>
        <w:gridCol w:w="1112"/>
        <w:gridCol w:w="109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43"/>
        <w:gridCol w:w="711"/>
        <w:gridCol w:w="125"/>
        <w:gridCol w:w="109"/>
        <w:gridCol w:w="109"/>
        <w:gridCol w:w="109"/>
        <w:gridCol w:w="211"/>
        <w:gridCol w:w="826"/>
        <w:gridCol w:w="157"/>
      </w:tblGrid>
      <w:tr>
        <w:trPr/>
        <w:tc>
          <w:tcPr>
            <w:tcW w:w="129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Beyond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Future revenue related to current unsatisfied performance obligations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100,043 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applies practical expedients and does not disclose information about remaining performance obligations (a) that have original expected durations of one year or less, or (b) where revenue is recognized as invoiced.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Costs of obtaining a contract</w:t>
      </w:r>
    </w:p>
    <w:p>
      <w:pPr>
        <w:pStyle w:val="TextBody"/>
        <w:bidi w:val="0"/>
        <w:spacing w:lineRule="auto" w:line="288" w:before="240" w:after="283"/>
        <w:ind w:left="0" w:right="0" w:firstLine="720"/>
        <w:jc w:val="both"/>
        <w:rPr/>
      </w:pPr>
      <w:r>
        <w:rPr>
          <w:rFonts w:ascii="Times New Roman;serif" w:hAnsi="Times New Roman;serif"/>
          <w:b w:val="false"/>
          <w:color w:val="000000"/>
          <w:sz w:val="20"/>
        </w:rPr>
        <w:t>The Company incurs incremental costs related to commissions, which can be directly tied to obtaining a contract. The Company capitalizes commissions associated with certain new contracts and amortizes the costs over a period of up to 7 years, which is the determined benefit period based on the estimated customer relationship period or customer benefit period. The Company determined the period of benefit by taking into consideration the customer contracts, its technology and other factors, including customer attrition. Commissions are earned upon invoicing to the customer. For contracts with multiple year payment terms, because the commissions that are payable after year 1 are payable based on continued employment, they are expensed when incurred</w:t>
      </w:r>
      <w:r>
        <w:rPr>
          <w:rFonts w:ascii="Times New Roman;serif" w:hAnsi="Times New Roman;serif"/>
          <w:b w:val="false"/>
          <w:i/>
          <w:color w:val="000000"/>
          <w:sz w:val="20"/>
        </w:rPr>
        <w:t xml:space="preserve">. </w:t>
      </w:r>
      <w:r>
        <w:rPr>
          <w:rFonts w:ascii="Times New Roman;serif" w:hAnsi="Times New Roman;serif"/>
          <w:b w:val="false"/>
          <w:color w:val="000000"/>
          <w:sz w:val="20"/>
        </w:rPr>
        <w:t>Commissions and amortization expense are included in “Sales and Marketing” expense in the condensed consolidated statements of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practical expedient, the Company recognizes the incremental costs of obtaining contracts as an expense when incurred if the amortization period for the assets that the Company otherwise would have recognized is one year or less. These costs are included in “Sales and Marketing” expense in the condensed consolidated statements of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related to the capitalized costs and amortization recognized in the current and prior period within "Other current assets" and "Other assets" on the condensed consolidated balance sheets:</w:t>
      </w:r>
    </w:p>
    <w:tbl>
      <w:tblPr>
        <w:tblW w:w="7106" w:type="dxa"/>
        <w:jc w:val="left"/>
        <w:tblInd w:w="0" w:type="dxa"/>
        <w:tblLayout w:type="fixed"/>
        <w:tblCellMar>
          <w:top w:w="28" w:type="dxa"/>
          <w:left w:w="28" w:type="dxa"/>
          <w:bottom w:w="28" w:type="dxa"/>
          <w:right w:w="28" w:type="dxa"/>
        </w:tblCellMar>
      </w:tblPr>
      <w:tblGrid>
        <w:gridCol w:w="1488"/>
        <w:gridCol w:w="1309"/>
        <w:gridCol w:w="1313"/>
        <w:gridCol w:w="228"/>
        <w:gridCol w:w="779"/>
        <w:gridCol w:w="117"/>
        <w:gridCol w:w="109"/>
        <w:gridCol w:w="109"/>
        <w:gridCol w:w="109"/>
        <w:gridCol w:w="300"/>
        <w:gridCol w:w="1026"/>
        <w:gridCol w:w="219"/>
      </w:tblGrid>
      <w:tr>
        <w:trPr/>
        <w:tc>
          <w:tcPr>
            <w:tcW w:w="1488"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costs to obtain contracts, current</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5,223 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costs to obtain contracts, non-current</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634" w:type="dxa"/>
        <w:jc w:val="left"/>
        <w:tblInd w:w="0" w:type="dxa"/>
        <w:tblLayout w:type="fixed"/>
        <w:tblCellMar>
          <w:top w:w="28" w:type="dxa"/>
          <w:left w:w="28" w:type="dxa"/>
          <w:bottom w:w="28" w:type="dxa"/>
          <w:right w:w="28" w:type="dxa"/>
        </w:tblCellMar>
      </w:tblPr>
      <w:tblGrid>
        <w:gridCol w:w="1580"/>
        <w:gridCol w:w="1391"/>
        <w:gridCol w:w="1394"/>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09"/>
        <w:gridCol w:w="109"/>
        <w:gridCol w:w="109"/>
        <w:gridCol w:w="109"/>
        <w:gridCol w:w="154"/>
      </w:tblGrid>
      <w:tr>
        <w:trPr/>
        <w:tc>
          <w:tcPr>
            <w:tcW w:w="1580"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costs to obtain contracts</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 Inventories,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Inventories, net, consisting principally of hardware and component parts, are stated at the lower of cost or net realizable value. Cost is determined using the first-in, first-out (FIFO) method.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net consist of the following:</w:t>
      </w:r>
    </w:p>
    <w:tbl>
      <w:tblPr>
        <w:tblW w:w="3917" w:type="dxa"/>
        <w:jc w:val="left"/>
        <w:tblInd w:w="0" w:type="dxa"/>
        <w:tblLayout w:type="fixed"/>
        <w:tblCellMar>
          <w:top w:w="28" w:type="dxa"/>
          <w:left w:w="28" w:type="dxa"/>
          <w:bottom w:w="28" w:type="dxa"/>
          <w:right w:w="28" w:type="dxa"/>
        </w:tblCellMar>
      </w:tblPr>
      <w:tblGrid>
        <w:gridCol w:w="548"/>
        <w:gridCol w:w="483"/>
        <w:gridCol w:w="484"/>
        <w:gridCol w:w="211"/>
        <w:gridCol w:w="616"/>
        <w:gridCol w:w="109"/>
        <w:gridCol w:w="109"/>
        <w:gridCol w:w="109"/>
        <w:gridCol w:w="109"/>
        <w:gridCol w:w="221"/>
        <w:gridCol w:w="757"/>
        <w:gridCol w:w="161"/>
      </w:tblGrid>
      <w:tr>
        <w:trPr/>
        <w:tc>
          <w:tcPr>
            <w:tcW w:w="54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 parts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10,466 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6 – Business Acquisitions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2026 - Build38 Acquisition</w:t>
      </w:r>
    </w:p>
    <w:p>
      <w:pPr>
        <w:pStyle w:val="TextBody"/>
        <w:bidi w:val="0"/>
        <w:spacing w:lineRule="auto" w:line="288" w:before="240" w:after="283"/>
        <w:ind w:left="0" w:right="0" w:firstLine="720"/>
        <w:jc w:val="both"/>
        <w:rPr/>
      </w:pPr>
      <w:r>
        <w:rPr>
          <w:rFonts w:ascii="Times New Roman;serif" w:hAnsi="Times New Roman;serif"/>
          <w:b w:val="false"/>
          <w:color w:val="000000"/>
          <w:sz w:val="20"/>
        </w:rPr>
        <w:t>On February 27, 2026, the Company completed the acquisition of Build38 GmbH ("Build38") pursuant to a merger agreement (the "B38 Merger Agreement") entered into on December 23, 2025 that resulted in the Company purchasing all of the outstanding equity interests of Build38. Build38 is a provider of next-generation mobile application protection solutions and will extend the Company's investment in advanced mobile security technologies. The acquisition is expected to enhance OneSpan’s App Shielding offering by adding SDK-based security solutions that integrate in-app, cloud, and AI technologies. These enhancements are designed to provide businesses with strong protection against the growing wave of attacks targeting the mobile channel, as well as critical intelligence and telemetry on the mobile devices where the applications are deployed. The acquisition was accounted for as a business combination in accordance with ASC 805,</w:t>
      </w:r>
      <w:r>
        <w:rPr>
          <w:color w:val="000000"/>
        </w:rPr>
        <w:t xml:space="preserve"> </w:t>
      </w:r>
      <w:r>
        <w:rPr>
          <w:rFonts w:ascii="Times New Roman;serif" w:hAnsi="Times New Roman;serif"/>
          <w:b w:val="false"/>
          <w:i/>
          <w:color w:val="000000"/>
          <w:sz w:val="20"/>
        </w:rPr>
        <w:t>Business Combinations</w:t>
      </w:r>
      <w:r>
        <w:rPr>
          <w:rFonts w:ascii="Times New Roman;serif" w:hAnsi="Times New Roman;serif"/>
          <w:b w:val="false"/>
          <w:color w:val="000000"/>
          <w:sz w:val="20"/>
        </w:rPr>
        <w:t>, using the acquisition method of accounting. Under this method, the Company recognized the identifiable assets acquired and liabilities assumed at their estimated fair values as of the acquisition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Pursuant to the terms of the B38 Merger Agreement, the total provisional purchase consideration for the acquisition was $37.9 million, consisting of $34.6 million in cash consideration paid, $0.9 million in cash acquired, and $2.4 million in deferred consideration. Of the deferred amount, $1.9 million (the "Holdback Amount") has been held back as security for certain potential liabilities of Build38. Any unused portion of the Holdback Amount will be released to Build38 security holders 18 months after the closing date. The remaining deferred amount of $0.5 million has been held back as a buffer for adjustments to the purchase consideration based upon the closing date financial statements, which are expected to be finalized by the third quarter of 2026. The Company incurred transaction related expenses of $2.1 million in connection with the acquisition of Build38, of which $1.6 million was expensed on the consolidated statement of operations for the year ended December 31, 2025 while the remaining $0.5 million</w:t>
      </w:r>
      <w:r>
        <w:rPr>
          <w:color w:val="000000"/>
        </w:rPr>
        <w:t xml:space="preserve"> </w:t>
      </w:r>
      <w:r>
        <w:rPr>
          <w:rFonts w:ascii="Times New Roman;serif" w:hAnsi="Times New Roman;serif"/>
          <w:b w:val="false"/>
          <w:color w:val="000000"/>
          <w:sz w:val="20"/>
        </w:rPr>
        <w:t>was expensed during the six months ended June 30, 2026.</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Build38 is allocated entirely to the Company's </w:t>
      </w:r>
      <w:r>
        <w:rPr>
          <w:rFonts w:ascii="Times New Roman;serif" w:hAnsi="Times New Roman;serif"/>
          <w:b w:val="false"/>
          <w:color w:val="000000"/>
          <w:sz w:val="20"/>
          <w:shd w:fill="FFFFFF" w:val="clear"/>
        </w:rPr>
        <w:t>Cybersecurity</w:t>
      </w:r>
      <w:r>
        <w:rPr>
          <w:color w:val="000000"/>
        </w:rPr>
        <w:t xml:space="preserve"> </w:t>
      </w:r>
      <w:r>
        <w:rPr>
          <w:rFonts w:ascii="Times New Roman;serif" w:hAnsi="Times New Roman;serif"/>
          <w:b w:val="false"/>
          <w:color w:val="000000"/>
          <w:sz w:val="20"/>
        </w:rPr>
        <w:t xml:space="preserve">reportable operating segment. The following table summarizes the preliminary fair values of the assets acquired and liabilities assumed: </w:t>
      </w:r>
    </w:p>
    <w:tbl>
      <w:tblPr>
        <w:tblW w:w="5900" w:type="dxa"/>
        <w:jc w:val="left"/>
        <w:tblInd w:w="0" w:type="dxa"/>
        <w:tblLayout w:type="fixed"/>
        <w:tblCellMar>
          <w:top w:w="28" w:type="dxa"/>
          <w:left w:w="28" w:type="dxa"/>
          <w:bottom w:w="28" w:type="dxa"/>
          <w:right w:w="28" w:type="dxa"/>
        </w:tblCellMar>
      </w:tblPr>
      <w:tblGrid>
        <w:gridCol w:w="1743"/>
        <w:gridCol w:w="1534"/>
        <w:gridCol w:w="1537"/>
        <w:gridCol w:w="211"/>
        <w:gridCol w:w="721"/>
        <w:gridCol w:w="154"/>
      </w:tblGrid>
      <w:tr>
        <w:trPr/>
        <w:tc>
          <w:tcPr>
            <w:tcW w:w="1743"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86"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Fair value of assets acquired and liabilities assumed: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net of valuation allowance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assets acquired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Hold back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acquisition of business, net of cash acquired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the purchase price allocation, the Company determined intangible assets were developed technology and customer relationships. The fair value of the intangible assets was estimated using an income based approach for the technology and replacement cost approach for the customer relationships. The estimated useful lives over which intangible assets will be amortized are as follows: developed technology (7 years) and customer relationships (1 year).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excess of the provisional purchase price over the estimated fair value of the tangible and intangible assets acquired and liabilities assumed has been recorded as goodwill. The acquisition resulted in recorded goodwill attributable to expected growth opportunities, potential synergies from combining the acquired business into the Company’s existing businesses and an assembled workforce. Goodwill is not expected to be deductible for tax purposes.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Deferred revenue was recorded under ASC 606 in accordance with ASU 2021-08, </w:t>
      </w:r>
      <w:r>
        <w:rPr>
          <w:rFonts w:ascii="Times New Roman;serif" w:hAnsi="Times New Roman;serif"/>
          <w:b w:val="false"/>
          <w:i/>
          <w:color w:val="000000"/>
          <w:sz w:val="20"/>
        </w:rPr>
        <w:t>Business Combinations (Topic 805), Accounting for Contract Assets and Contract Liabilities from Contracts with Customers</w:t>
      </w:r>
      <w:r>
        <w:rPr>
          <w:rFonts w:ascii="Times New Roman;serif" w:hAnsi="Times New Roman;serif"/>
          <w:b w:val="false"/>
          <w:color w:val="000000"/>
          <w:sz w:val="20"/>
        </w:rPr>
        <w:t xml:space="preserve">; therefore, a reduction in deferred revenues related to the estimated fair values of the acquired deferred revenues was not required.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Build38 operating results since completion of the acquisition are not material and are included in the condensed consolidated financial statements. The Company has not presented pro forma results of operations for the acquisition since the financial impact was not material to the condensed consolidated financial statements.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2025 - Nok Nok Labs, Inc. Acquisition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On June 4, 2025, the Company acquired Nok Nok Labs, Inc ("Nok Nok Labs") pursuant to a merger agreement (the "NNL Merger Agreement") that resulted in the Company purchasing all of the outstanding equity interests of Nok Nok Labs. Nok Nok Labs is a leading provider of passwordless software authentication solutions that use FIDO (Fast IDentity Online) authentication protocols. The technology acquired in the acquisition is expected to provide OneSpan's customers with a wider range of flexible, adaptable authentication options. The acquisition was accounted for as a business combination in accordance with ASC 805,</w:t>
      </w:r>
      <w:r>
        <w:rPr>
          <w:color w:val="000000"/>
        </w:rPr>
        <w:t xml:space="preserve"> </w:t>
      </w:r>
      <w:r>
        <w:rPr>
          <w:rFonts w:ascii="Times New Roman;serif" w:hAnsi="Times New Roman;serif"/>
          <w:b w:val="false"/>
          <w:i/>
          <w:color w:val="000000"/>
          <w:sz w:val="20"/>
        </w:rPr>
        <w:t>Business Combinations</w:t>
      </w:r>
      <w:r>
        <w:rPr>
          <w:rFonts w:ascii="Times New Roman;serif" w:hAnsi="Times New Roman;serif"/>
          <w:b w:val="false"/>
          <w:color w:val="000000"/>
          <w:sz w:val="20"/>
        </w:rPr>
        <w:t>, using the acquisition method of accounting. Under this method, the Company recognized the identifiable assets acquired and liabilities assumed at their fair values as of the acquisition date.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NNL Merger Agreement, the total purchase consideration for the acquisition was $19.2 million, consisting of $14.7 million in cash consideration paid, $1.8 million in cash acquired, and $2.7 million in deferred consideration. The $2.7 million (the "Holdback Amount") was held back as security for potential indemnity claims made by the Company. Any unused portion of the Holdback Amount will be released to Nok Nok Labs security holders 18 months after the acquisition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7 – Goodwill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goodwill during the six months ended June 30, 2026:</w:t>
      </w:r>
    </w:p>
    <w:tbl>
      <w:tblPr>
        <w:tblW w:w="7656" w:type="dxa"/>
        <w:jc w:val="left"/>
        <w:tblInd w:w="0" w:type="dxa"/>
        <w:tblLayout w:type="fixed"/>
        <w:tblCellMar>
          <w:top w:w="28" w:type="dxa"/>
          <w:left w:w="28" w:type="dxa"/>
          <w:bottom w:w="28" w:type="dxa"/>
          <w:right w:w="28" w:type="dxa"/>
        </w:tblCellMar>
      </w:tblPr>
      <w:tblGrid>
        <w:gridCol w:w="1145"/>
        <w:gridCol w:w="1009"/>
        <w:gridCol w:w="1011"/>
        <w:gridCol w:w="211"/>
        <w:gridCol w:w="826"/>
        <w:gridCol w:w="109"/>
        <w:gridCol w:w="109"/>
        <w:gridCol w:w="109"/>
        <w:gridCol w:w="109"/>
        <w:gridCol w:w="304"/>
        <w:gridCol w:w="1039"/>
        <w:gridCol w:w="157"/>
        <w:gridCol w:w="109"/>
        <w:gridCol w:w="109"/>
        <w:gridCol w:w="109"/>
        <w:gridCol w:w="211"/>
        <w:gridCol w:w="826"/>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balance at December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during the period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rate effect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balance at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21,170 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127,828 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both"/>
        <w:rPr/>
      </w:pPr>
      <w:r>
        <w:rPr>
          <w:rFonts w:ascii="Times New Roman;serif" w:hAnsi="Times New Roman;serif"/>
          <w:b w:val="false"/>
          <w:color w:val="000000"/>
          <w:sz w:val="20"/>
        </w:rPr>
        <w:t>(1)    Represents goodwill recorded in conjunction with the acquisition of Build38 GmbH for the six months ended June 30, 2026. See Note 6</w:t>
      </w:r>
      <w:r>
        <w:rPr>
          <w:color w:val="000000"/>
        </w:rPr>
        <w:t xml:space="preserve"> – </w:t>
      </w:r>
      <w:r>
        <w:rPr>
          <w:rFonts w:ascii="Times New Roman;serif" w:hAnsi="Times New Roman;serif"/>
          <w:b w:val="false"/>
          <w:i/>
          <w:color w:val="000000"/>
          <w:sz w:val="20"/>
        </w:rPr>
        <w:t>Business Acquisitions</w:t>
      </w:r>
      <w:r>
        <w:rPr>
          <w:rFonts w:ascii="Times New Roman;serif" w:hAnsi="Times New Roman;serif"/>
          <w:b w:val="false"/>
          <w:color w:val="000000"/>
          <w:sz w:val="20"/>
        </w:rPr>
        <w:t xml:space="preserve">, for additional information.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impairment of goodwill was recorded during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8 – Intangible Assets, net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net as of June 30, 2026 and December 31, 2025 consist of the following:</w:t>
      </w:r>
    </w:p>
    <w:tbl>
      <w:tblPr>
        <w:tblW w:w="10205" w:type="dxa"/>
        <w:jc w:val="left"/>
        <w:tblInd w:w="0" w:type="dxa"/>
        <w:tblLayout w:type="fixed"/>
        <w:tblCellMar>
          <w:top w:w="28" w:type="dxa"/>
          <w:left w:w="28" w:type="dxa"/>
          <w:bottom w:w="28" w:type="dxa"/>
          <w:right w:w="28" w:type="dxa"/>
        </w:tblCellMar>
      </w:tblPr>
      <w:tblGrid>
        <w:gridCol w:w="728"/>
        <w:gridCol w:w="544"/>
        <w:gridCol w:w="545"/>
        <w:gridCol w:w="352"/>
        <w:gridCol w:w="352"/>
        <w:gridCol w:w="354"/>
        <w:gridCol w:w="109"/>
        <w:gridCol w:w="109"/>
        <w:gridCol w:w="109"/>
        <w:gridCol w:w="291"/>
        <w:gridCol w:w="995"/>
        <w:gridCol w:w="150"/>
        <w:gridCol w:w="109"/>
        <w:gridCol w:w="109"/>
        <w:gridCol w:w="109"/>
        <w:gridCol w:w="296"/>
        <w:gridCol w:w="1100"/>
        <w:gridCol w:w="153"/>
        <w:gridCol w:w="109"/>
        <w:gridCol w:w="109"/>
        <w:gridCol w:w="109"/>
        <w:gridCol w:w="291"/>
        <w:gridCol w:w="995"/>
        <w:gridCol w:w="150"/>
        <w:gridCol w:w="109"/>
        <w:gridCol w:w="109"/>
        <w:gridCol w:w="109"/>
        <w:gridCol w:w="293"/>
        <w:gridCol w:w="1087"/>
        <w:gridCol w:w="221"/>
      </w:tblGrid>
      <w:tr>
        <w:trPr/>
        <w:tc>
          <w:tcPr>
            <w:tcW w:w="72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r>
      <w:tr>
        <w:trPr/>
        <w:tc>
          <w:tcPr>
            <w:tcW w:w="1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6 to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28,493 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(18,889)</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21,397 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(18,237)</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 to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trademarks, and other</w:t>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to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63,449 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(48,161)</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55,794 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(46,053)</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expense was $1.2 million and $2.1 million for the three and six months ended June 30, 2026, respectively, compared to $0.7 million and $1.2 million for the three and six months ended June 30, 2025, respectively. Amortization expense includes cost of sales amortization expense directly related to delivering cloud subscription revenue of $0.4 million and $0.6 million for the three and six months ended June 30, 2026, respectively. There was no cost of sales amortization expense for the three and six months ended June 30, 2025. Costs are recorded in "Services and other cost of goods sold" on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intangible assets are denominated in functional currencies besides the U.S. Dollar and are subject to currency fluctuations.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was no impairment of intangible assets recorded during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9 – Property and Equipment,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major classes of property and equipment, net, as of June 30, 2026 and December 31, 2025:</w:t>
      </w:r>
    </w:p>
    <w:tbl>
      <w:tblPr>
        <w:tblW w:w="5591" w:type="dxa"/>
        <w:jc w:val="left"/>
        <w:tblInd w:w="0" w:type="dxa"/>
        <w:tblLayout w:type="fixed"/>
        <w:tblCellMar>
          <w:top w:w="28" w:type="dxa"/>
          <w:left w:w="28" w:type="dxa"/>
          <w:bottom w:w="28" w:type="dxa"/>
          <w:right w:w="28" w:type="dxa"/>
        </w:tblCellMar>
      </w:tblPr>
      <w:tblGrid>
        <w:gridCol w:w="939"/>
        <w:gridCol w:w="827"/>
        <w:gridCol w:w="829"/>
        <w:gridCol w:w="228"/>
        <w:gridCol w:w="779"/>
        <w:gridCol w:w="117"/>
        <w:gridCol w:w="109"/>
        <w:gridCol w:w="109"/>
        <w:gridCol w:w="109"/>
        <w:gridCol w:w="300"/>
        <w:gridCol w:w="1026"/>
        <w:gridCol w:w="219"/>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software</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9,768 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54,181 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48,204 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23,896 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22,234 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was $2.3 million and $4.5 million for the three and six months ended June 30, 2026, respectively, compared to $1.8 million and $3.3 million for the three and six months ended June 30, 2025, respectively. Depreciation expense includes cost of sales depreciation expense directly related to delivering cloud subscription revenue of $1.8 million and $3.5 million for the three and six months ended June 30, 2026, respectively, and $1.3 million and $2.3 million for the three and six months ended June 30, 2025, respectively, and are recorded in "Services and other cost of goods sold" on the condensed consolidated statements of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wrote-off internal capitalized software of $0.3 million during the six months ended June 30, 2026 related to an in process software project similar to the mobile application protection solution acquired in the Build38 acquisition. As a result, the Company determined this software project to have no future benefit.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10 – Fair Value Measurements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values of cash equivalents, accounts receivables, and accounts payable approximate their carrying amounts due to their short duration. The fair value of the Company's variable rate revolving credit facility approximates its carrying value and is based on Level 2 inputs as it is estimated using observable markets inputs such as current interest rates and credit spreads for similar instruments.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 upon its own market assumptions. </w:t>
      </w:r>
    </w:p>
    <w:p>
      <w:pPr>
        <w:pStyle w:val="TextBody"/>
        <w:bidi w:val="0"/>
        <w:spacing w:lineRule="auto" w:line="276" w:before="240" w:after="283"/>
        <w:ind w:left="0" w:right="0" w:firstLine="720"/>
        <w:jc w:val="both"/>
        <w:rPr/>
      </w:pPr>
      <w:r>
        <w:rPr>
          <w:rFonts w:ascii="Times New Roman;serif" w:hAnsi="Times New Roman;serif"/>
          <w:b w:val="false"/>
          <w:color w:val="000000"/>
          <w:sz w:val="20"/>
        </w:rPr>
        <w:t xml:space="preserve">The estimated fair value of financial instruments has been determined by using available market information and appropriate valuation methodologies, as defined in ASC 820, </w:t>
      </w:r>
      <w:r>
        <w:rPr>
          <w:rFonts w:ascii="Times New Roman;serif" w:hAnsi="Times New Roman;serif"/>
          <w:b w:val="false"/>
          <w:i/>
          <w:color w:val="000000"/>
          <w:sz w:val="20"/>
        </w:rPr>
        <w:t>Fair Value Measurements</w:t>
      </w:r>
      <w:r>
        <w:rPr>
          <w:rFonts w:ascii="Times New Roman;serif" w:hAnsi="Times New Roman;serif"/>
          <w:b w:val="false"/>
          <w:color w:val="000000"/>
          <w:sz w:val="20"/>
        </w:rPr>
        <w:t>. The fair value hierarchy consists of the following three levels:</w:t>
      </w:r>
    </w:p>
    <w:p>
      <w:pPr>
        <w:pStyle w:val="TextBody"/>
        <w:bidi w:val="0"/>
        <w:spacing w:lineRule="auto" w:line="276" w:before="240" w:after="283"/>
        <w:ind w:left="0" w:right="0" w:hanging="360"/>
        <w:jc w:val="both"/>
        <w:rPr/>
      </w:pPr>
      <w:r>
        <w:rPr>
          <w:color w:val="000000"/>
        </w:rPr>
        <w:t>•</w:t>
      </w:r>
      <w:r>
        <w:rPr>
          <w:rFonts w:ascii="Times New Roman;serif" w:hAnsi="Times New Roman;serif"/>
          <w:b w:val="false"/>
          <w:color w:val="000000"/>
          <w:sz w:val="20"/>
        </w:rPr>
        <w:t>Level 1 – Inputs are quoted prices in active markets for identical assets or liabilities.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Level 2 – Inputs are quoted prices for similar assets or liabilities in an active market, quoted prices for identical or similar assets or liabilities in markets that are not active, inputs other than quoted prices that are observable and market-corroborated inputs which are derived primarily from or corroborated by observable market data.</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Level 3 – Inputs are derived from valuation techniques in which one or more significant inputs or value drivers are unobservable.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before="240" w:after="283"/>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financial assets by level in the fair value hierarchy. as of June 30, 2026 and December 31, 2025:</w:t>
      </w:r>
    </w:p>
    <w:tbl>
      <w:tblPr>
        <w:tblW w:w="10205" w:type="dxa"/>
        <w:jc w:val="left"/>
        <w:tblInd w:w="0" w:type="dxa"/>
        <w:tblLayout w:type="fixed"/>
        <w:tblCellMar>
          <w:top w:w="28" w:type="dxa"/>
          <w:left w:w="28" w:type="dxa"/>
          <w:bottom w:w="28" w:type="dxa"/>
          <w:right w:w="28" w:type="dxa"/>
        </w:tblCellMar>
      </w:tblPr>
      <w:tblGrid>
        <w:gridCol w:w="557"/>
        <w:gridCol w:w="490"/>
        <w:gridCol w:w="491"/>
        <w:gridCol w:w="221"/>
        <w:gridCol w:w="757"/>
        <w:gridCol w:w="114"/>
        <w:gridCol w:w="109"/>
        <w:gridCol w:w="109"/>
        <w:gridCol w:w="109"/>
        <w:gridCol w:w="427"/>
        <w:gridCol w:w="1461"/>
        <w:gridCol w:w="220"/>
        <w:gridCol w:w="109"/>
        <w:gridCol w:w="109"/>
        <w:gridCol w:w="109"/>
        <w:gridCol w:w="600"/>
        <w:gridCol w:w="1156"/>
        <w:gridCol w:w="313"/>
        <w:gridCol w:w="109"/>
        <w:gridCol w:w="109"/>
        <w:gridCol w:w="109"/>
        <w:gridCol w:w="659"/>
        <w:gridCol w:w="1268"/>
        <w:gridCol w:w="490"/>
      </w:tblGrid>
      <w:tr>
        <w:trPr/>
        <w:tc>
          <w:tcPr>
            <w:tcW w:w="55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w:t>
              <w:br/>
              <w:t>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Deposit</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46"/>
        <w:gridCol w:w="480"/>
        <w:gridCol w:w="481"/>
        <w:gridCol w:w="266"/>
        <w:gridCol w:w="911"/>
        <w:gridCol w:w="137"/>
        <w:gridCol w:w="109"/>
        <w:gridCol w:w="109"/>
        <w:gridCol w:w="109"/>
        <w:gridCol w:w="415"/>
        <w:gridCol w:w="1420"/>
        <w:gridCol w:w="214"/>
        <w:gridCol w:w="109"/>
        <w:gridCol w:w="109"/>
        <w:gridCol w:w="109"/>
        <w:gridCol w:w="582"/>
        <w:gridCol w:w="1121"/>
        <w:gridCol w:w="303"/>
        <w:gridCol w:w="109"/>
        <w:gridCol w:w="109"/>
        <w:gridCol w:w="109"/>
        <w:gridCol w:w="640"/>
        <w:gridCol w:w="1231"/>
        <w:gridCol w:w="477"/>
      </w:tblGrid>
      <w:tr>
        <w:trPr/>
        <w:tc>
          <w:tcPr>
            <w:tcW w:w="5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at Reporting Date Using</w:t>
            </w:r>
          </w:p>
        </w:tc>
      </w:tr>
      <w:tr>
        <w:trPr/>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w:t>
              <w:br/>
              <w:t>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r>
      <w:tr>
        <w:trPr/>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8" w:type="dxa"/>
            <w:gridSpan w:val="3"/>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8" w:type="dxa"/>
            <w:gridSpan w:val="3"/>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8" w:type="dxa"/>
            <w:gridSpan w:val="3"/>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have any financial liabilities that are measured at fair value on a recurring basis as of June 30, 2026 and December 31, 2025.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non-financial assets and liabilities, which include goodwill and long-lived assets held and used, are not required to be measured at fair value on a recurring basis. However, if certain triggering events occur, or if an annual impairment test is required, the Company would evaluate the non-financial assets and liabilities for impairment. If an impairment was to occur, the asset or liability would be recorded at its estimated fair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11 – Allowance for Credit Losses</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accounting standards updates ("ASU") No. 2016-13, “Financial Instruments - Credit Losses (Topic 326): Measurement of Credit Losses on Financial Instruments,” the Company evaluates its allowance based on expected losses rather than incurred losses, which is known as the current expected credit loss (“CECL”) model. The allowance is determined using the loss rate approach and is measured on a collective (pool) basis when similar risk characteristics exist. Where financial instruments do not share risk characteristics, they are evaluated on an individual basis. The allowance is based on relevant available information, from internal and external sources, relating to past events, current conditions, and reasonable and supportable forecasts.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changes in the allowance for credit losses during the six months ended June 30, 2026 were as follows:</w:t>
      </w:r>
    </w:p>
    <w:tbl>
      <w:tblPr>
        <w:tblW w:w="3665" w:type="dxa"/>
        <w:jc w:val="left"/>
        <w:tblInd w:w="0" w:type="dxa"/>
        <w:tblLayout w:type="fixed"/>
        <w:tblCellMar>
          <w:top w:w="28" w:type="dxa"/>
          <w:left w:w="28" w:type="dxa"/>
          <w:bottom w:w="28" w:type="dxa"/>
          <w:right w:w="28" w:type="dxa"/>
        </w:tblCellMar>
      </w:tblPr>
      <w:tblGrid>
        <w:gridCol w:w="972"/>
        <w:gridCol w:w="855"/>
        <w:gridCol w:w="857"/>
        <w:gridCol w:w="211"/>
        <w:gridCol w:w="61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Recovery of credit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Note 12 – Debt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June 23, 2025, the Company entered into a $100.0 million credit agreement (the “Credit Agreement") with MUFG Bank, Ltd ("MUFG"), as administrative agent, swingline lender and L/C issuer, and other lenders party thereto. The Credit Agreement provides for a $100.0 million revolving credit facility with a $10.0 million letter of credit sublimit and a $10.0 million swingline loan sublimit. As of June 30, 2026, the Company had</w:t>
      </w:r>
      <w:r>
        <w:rPr>
          <w:color w:val="000000"/>
          <w:shd w:fill="FFFFFF" w:val="clear"/>
        </w:rPr>
        <w:t xml:space="preserve"> </w:t>
      </w:r>
      <w:r>
        <w:rPr>
          <w:rFonts w:ascii="Times New Roman;serif" w:hAnsi="Times New Roman;serif"/>
          <w:b w:val="false"/>
          <w:color w:val="000000"/>
          <w:sz w:val="20"/>
          <w:shd w:fill="FFFFFF" w:val="clear"/>
        </w:rPr>
        <w:t>$0.4 million le</w:t>
      </w:r>
      <w:r>
        <w:rPr>
          <w:rFonts w:ascii="Times New Roman;serif" w:hAnsi="Times New Roman;serif"/>
          <w:b w:val="false"/>
          <w:color w:val="000000"/>
          <w:sz w:val="20"/>
        </w:rPr>
        <w:t>tters of credit outstanding and $5.0 million borrowings outstanding under the Credit Agreement. Any outstanding letters of credit reduce the availability of funds to borrow.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proceeds of borrowings under the Credit Agreement may be used for general corporate purposes. The Company may borrow, repay and reborrow funds under the revolving credit facility until its maturity on June 23, 2030. Revolving loans may be prepaid by the Company, subject to notice and minimum threshold requirements, without penalty or premium, subject to customary breakage costs. The Company is required to pay a commitment fee on the daily unused amount of the revolving credit facility commitments ranging from 0.25% to 0.30% per annum, depending on its consolidated net leverage ratio.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Company's election, borrowings under the credit facility will bear interest at either (i) the base rate, defined as the highest of (a) the MUFG prime rate, (b) the federal funds rate plus 0.50%, and (c) term SOFR plus 1.00%, in each case, subject to a 1.00% floor, (ii) the term SOFR rate, (iii) the alternative currency daily rate, or (iv) the alternative currency term rate, in each case, plus the applicable rate. The applicable rate varies based on the Company's consolidated net leverage ratio and will range from 1.00% to 1.50% for base rate loans and 2.00% to 2.50% for term SOFR and alternative currency loans. With respect to term SOFR and alternative currency term rate loans, the Company may elect an interest period of one (1), three (3) or six (6) months.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Credit Agreement also provides that the Company may, with the agreement of the lenders and/or new lenders and subject to certain conditions and limitations, add one or more incremental revolving facilities to increase commitments under the credit facility in an aggregate amount not to exceed the greater of (x) $100.0 million and (y) 100% of Consolidated EBITDA (as defined in the Credit Agreement) for the four consecutive fiscal quarters most recently ended for which financial statements have been delivered pursuant to the terms of the 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of the Company's obligations under the Credit Agreement are secured by a first-priority lien and security interest in substantially all of the Company's tangible and intangible assets. The material subsidiaries of OneSpan Inc., subject to certain exclusions, have guaranteed the obligations under the Credit Agreement and granted a lien and pledge, as applicable, on substantially all of their tangible and intangible property to secure the obligations under the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contains certain representations and warranties, affirmative covenants, negative covenants and conditions that are customarily required for similar financings. The negative covenants include limitations on indebtedness, liens, investments, fundamental changes, asset dispositions, restricted payments and transactions with affiliates, as well as financial covenants that require the maintenance of (i) a consolidated net leverage ratio (as defined in the Credit Agreement) of not more than 3.25 to 1.00 at any time during any period of four consecutive fiscal quarters, subject to certain exceptions and (ii) a minimum consolidated interest coverage ratio (as defined in the Credit Agreement) of not less than 3.00 to 1.00 as of the end of any fiscal quarter.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capita</w:t>
      </w:r>
      <w:r>
        <w:rPr>
          <w:rFonts w:ascii="Times New Roman;serif" w:hAnsi="Times New Roman;serif"/>
          <w:b w:val="false"/>
          <w:color w:val="000000"/>
          <w:sz w:val="20"/>
          <w:shd w:fill="FFFFFF" w:val="clear"/>
        </w:rPr>
        <w:t>lized $1.9 million of lender and third-party debt issuance costs incurred in connection with the Credit Agreement and will amortize these costs to interest expense over the term of the revolving credit facilit</w:t>
      </w:r>
      <w:r>
        <w:rPr>
          <w:rFonts w:ascii="Times New Roman;serif" w:hAnsi="Times New Roman;serif"/>
          <w:b w:val="false"/>
          <w:color w:val="000000"/>
          <w:sz w:val="20"/>
        </w:rPr>
        <w:t>y. For the three and six months ended June 30, 2026, the amortization of debt issuance costs was</w:t>
      </w:r>
      <w:r>
        <w:rPr>
          <w:color w:val="000000"/>
          <w:shd w:fill="FFFFFF" w:val="clear"/>
        </w:rPr>
        <w:t xml:space="preserve"> </w:t>
      </w:r>
      <w:r>
        <w:rPr>
          <w:rFonts w:ascii="Times New Roman;serif" w:hAnsi="Times New Roman;serif"/>
          <w:b w:val="false"/>
          <w:color w:val="000000"/>
          <w:sz w:val="20"/>
          <w:shd w:fill="FFFFFF" w:val="clear"/>
        </w:rPr>
        <w:t xml:space="preserve">$0.1 million and $0.2 million. As of </w:t>
      </w:r>
      <w:r>
        <w:rPr>
          <w:rFonts w:ascii="Times New Roman;serif" w:hAnsi="Times New Roman;serif"/>
          <w:b w:val="false"/>
          <w:color w:val="000000"/>
          <w:sz w:val="20"/>
        </w:rPr>
        <w:t>June 30, 2026, the current portion of the debt issuance costs we</w:t>
      </w:r>
      <w:r>
        <w:rPr>
          <w:rFonts w:ascii="Times New Roman;serif" w:hAnsi="Times New Roman;serif"/>
          <w:b w:val="false"/>
          <w:color w:val="000000"/>
          <w:sz w:val="20"/>
          <w:shd w:fill="FFFFFF" w:val="clear"/>
        </w:rPr>
        <w:t xml:space="preserve">re $0.4 million </w:t>
      </w:r>
      <w:r>
        <w:rPr>
          <w:rFonts w:ascii="Times New Roman;serif" w:hAnsi="Times New Roman;serif"/>
          <w:b w:val="false"/>
          <w:color w:val="000000"/>
          <w:sz w:val="20"/>
        </w:rPr>
        <w:t xml:space="preserve">and are included in the "Other current assets" line in the consolidated balance sheets and the non-current portion of the debt issuance costs </w:t>
      </w:r>
      <w:r>
        <w:rPr>
          <w:rFonts w:ascii="Times New Roman;serif" w:hAnsi="Times New Roman;serif"/>
          <w:b w:val="false"/>
          <w:color w:val="000000"/>
          <w:sz w:val="20"/>
          <w:shd w:fill="FFFFFF" w:val="clear"/>
        </w:rPr>
        <w:t>were $1.1 million an</w:t>
      </w:r>
      <w:r>
        <w:rPr>
          <w:rFonts w:ascii="Times New Roman;serif" w:hAnsi="Times New Roman;serif"/>
          <w:b w:val="false"/>
          <w:color w:val="000000"/>
          <w:sz w:val="20"/>
        </w:rPr>
        <w:t>d are included in the "Other assets" line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13 – Leases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lease cost details for the three and six months ended June 30, 2026 and 2025 are as follows:</w:t>
      </w:r>
    </w:p>
    <w:tbl>
      <w:tblPr>
        <w:tblW w:w="7049" w:type="dxa"/>
        <w:jc w:val="left"/>
        <w:tblInd w:w="0" w:type="dxa"/>
        <w:tblLayout w:type="fixed"/>
        <w:tblCellMar>
          <w:top w:w="28" w:type="dxa"/>
          <w:left w:w="28" w:type="dxa"/>
          <w:bottom w:w="28" w:type="dxa"/>
          <w:right w:w="28" w:type="dxa"/>
        </w:tblCellMar>
      </w:tblPr>
      <w:tblGrid>
        <w:gridCol w:w="934"/>
        <w:gridCol w:w="822"/>
        <w:gridCol w:w="823"/>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rent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Automobile rentals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operating lease costs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Company’s weighted average remaining lease term for its operating leases is 4.2 years, and the weighted average discount rate for its operating leases is 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there were $2.0 million of operating cash payments for lease liabilities and $1.8 million of right-of-use assets obtained in exchange for new lease liabilities.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Maturities of the Company’s operating leases as of June 30, 2026 are as follows:</w:t>
      </w:r>
    </w:p>
    <w:tbl>
      <w:tblPr>
        <w:tblW w:w="3014" w:type="dxa"/>
        <w:jc w:val="left"/>
        <w:tblInd w:w="0" w:type="dxa"/>
        <w:tblLayout w:type="fixed"/>
        <w:tblCellMar>
          <w:top w:w="28" w:type="dxa"/>
          <w:left w:w="28" w:type="dxa"/>
          <w:bottom w:w="28" w:type="dxa"/>
          <w:right w:w="28" w:type="dxa"/>
        </w:tblCellMar>
      </w:tblPr>
      <w:tblGrid>
        <w:gridCol w:w="668"/>
        <w:gridCol w:w="588"/>
        <w:gridCol w:w="589"/>
        <w:gridCol w:w="251"/>
        <w:gridCol w:w="735"/>
        <w:gridCol w:w="183"/>
      </w:tblGrid>
      <w:tr>
        <w:trPr/>
        <w:tc>
          <w:tcPr>
            <w:tcW w:w="66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br/>
              <w:t>June 30, 2026</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Later years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14 – Income Taxes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estimated annual effective tax rate for 2026 before discrete items is expected to be approximately 21%. The Company’s global effective tax rate approximates the U.S. statutory tax rate of 21% primarily due to the benefit from Foreign-Derived Deduction Eligible Income (FDDEI) and R&amp;D credits that are offset by differences in foreign income tax rates, nondeductible expenses, and Net CFC Tested Income (NCTI), net of foreign tax credit. The ultimate tax expense will depend on the mix of earnings in various jurisdictions. Income taxes, net of refunds, of $6.5 million and $4.6 million were paid during the six months ended June 30, 2026 and 2025,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assesses the need for a valuation allowance on a regular basis, weighing all positive and negative evidence to determine whether a deferred tax asset will be fully or partially realized. In evaluating the realizability of deferred tax assets, significant pieces of negative evidence such as 3-year cumulative losses are considered. Management also reviews reversal patterns of temporary differences to determine if the Company would have sufficient taxable income due to the reversal of temporary differences to support the realization of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15 – Long-Term Compensation Plan and Stock Based Compensation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OneSpan Inc. Amended and Restated 2019 Omnibus Incentive Plan, the Company awards restricted stock units subject to time-based vesting, restricted stock units which are subject to the achievement of future performance criteria and restricted stock units that are subject to the achievement of market conditions. The Company also awards a small amount of cash incentive awards under the Amended and Restated 2019 Omnibus Incentive Plan, as shown in the table below.</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awarded 0.7 million restricted stock units subject to time-based vesting. The fair value of the unissued time-based restricted stock unit grants was $7.1 million at the dates of grant and the grants are being amortized over the vesting period of three years.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awarded restricted stock units subject to the achievement of service and future performance criteria, which allows for up to 0.9 million shares to be earned if the performance criteria are achieved at the target level. The fair value of these awards was $9.2 million at the dates of grant and the awards are being amortized over the requisite service period of three years. The Company currently believes that approximately 100% of these shares are expected to be earned.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total compensation expense for the three and six months ended June 30, 2026 and 2025:</w:t>
      </w:r>
    </w:p>
    <w:tbl>
      <w:tblPr>
        <w:tblW w:w="9021" w:type="dxa"/>
        <w:jc w:val="left"/>
        <w:tblInd w:w="0" w:type="dxa"/>
        <w:tblLayout w:type="fixed"/>
        <w:tblCellMar>
          <w:top w:w="28" w:type="dxa"/>
          <w:left w:w="28" w:type="dxa"/>
          <w:bottom w:w="28" w:type="dxa"/>
          <w:right w:w="28" w:type="dxa"/>
        </w:tblCellMar>
      </w:tblPr>
      <w:tblGrid>
        <w:gridCol w:w="1477"/>
        <w:gridCol w:w="1299"/>
        <w:gridCol w:w="1303"/>
        <w:gridCol w:w="217"/>
        <w:gridCol w:w="634"/>
        <w:gridCol w:w="112"/>
        <w:gridCol w:w="112"/>
        <w:gridCol w:w="112"/>
        <w:gridCol w:w="112"/>
        <w:gridCol w:w="217"/>
        <w:gridCol w:w="634"/>
        <w:gridCol w:w="112"/>
        <w:gridCol w:w="211"/>
        <w:gridCol w:w="616"/>
        <w:gridCol w:w="109"/>
        <w:gridCol w:w="109"/>
        <w:gridCol w:w="109"/>
        <w:gridCol w:w="109"/>
        <w:gridCol w:w="211"/>
        <w:gridCol w:w="616"/>
        <w:gridCol w:w="109"/>
        <w:gridCol w:w="109"/>
        <w:gridCol w:w="109"/>
        <w:gridCol w:w="109"/>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incentive plan compensation (1)</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compensation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(1)    Other long-term incentive compensation consists of immaterial expense for cash incentive awards granted to employees located in jurisdictions where we do not issue stock-based compensation due to tax, regulatory or similar reasons.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16 – Earnings per Share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is based on the weighted average number of shares outstanding and excludes the dilutive effect of common stock equivalents. Diluted earnings per share is based on the weighted average number of shares outstanding and includes the dilutive effect of common stock equivalents to the extent they are not anti-dilutive.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details of the earnings per share calculations for the three and six months ended June 30, 2026 and 2025 are as follows:</w:t>
      </w:r>
    </w:p>
    <w:tbl>
      <w:tblPr>
        <w:tblW w:w="8940" w:type="dxa"/>
        <w:jc w:val="left"/>
        <w:tblInd w:w="0" w:type="dxa"/>
        <w:tblLayout w:type="fixed"/>
        <w:tblCellMar>
          <w:top w:w="28" w:type="dxa"/>
          <w:left w:w="28" w:type="dxa"/>
          <w:bottom w:w="28" w:type="dxa"/>
          <w:right w:w="28" w:type="dxa"/>
        </w:tblCellMar>
      </w:tblPr>
      <w:tblGrid>
        <w:gridCol w:w="1433"/>
        <w:gridCol w:w="1260"/>
        <w:gridCol w:w="1267"/>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433"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93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38,156</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shares with dilutive effect: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39,026</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17 – Legal Proceedings and Contingencies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certain legal proceedings and claims that have arisen in the ordinary course of business. The Company currently does not anticipate that these matters, if resolved against the Company, will have a material adverse impact on its financial results or financial condition.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accrues loss contingencies when losses become probable and are reasonably estimable. As of June 30, 2026, the Company has no probable and reasonably estimable loss contingencies.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does not accrue for contingent losses that, in the judgment of the Company, are considered to be reasonably possible, but not probable. Although the Company intends to defend its legal matters vigorously, the ultimate outcome of these matters is uncertain. However, the Company does not expect the potential losses, if any, to have a material adverse impact on its operating results, cash flows, or financial condition. As of June 30, 2026, the Company does not have any reasonably possible losses for which an estimate can be made.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18 – Subsequent Events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4, 2026, the Board of Directors declared a quarterly cash dividend of $0.13 per share as part of the Company's recurring quarterly dividend program initiated in December 2024. This dividend will be paid on September 4, 2026 to shareholders of record as of the close of business on August 14, 2026. The declaration and payment of future dividends is subject to the sole discretion of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 Management’s Discussion and Analysis of Financial Condition and Results of Operations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Unless otherwise noted, references in this Quarterly Report on Form 10-Q to “OneSpan,” “Company,” “we,” “our,” and “us” refer to OneSpan Inc. and its subsidiaries. </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This commentary should be read in conjunction with the condensed consolidated financial statements and related notes thereto of OneSpan for the three- and six-month periods ended June 30, 2026 and 2025 as well as our consolidated financial statements and related notes thereto and management’s discussion and analysis of financial condition and results of operations in our Annual Report on Form 10-K for the year ended December 31, 2025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Cautionary Note Regarding Forward-Looking Statements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within the meaning of applicable U.S. securities laws, including statements regarding: our goal of driving profitable, efficient growth in both operating segments, with a particular emphasis on subscription revenue growth; expectations regarding the contributions of, and results from, our acquisitions of Build38 GmbH and Nok Nok Labs, Inc.; expectations about trends in our cost of goods sold, gross margin, and sales and marketing, research and development, and general and administrative expenses; the expected impact of foreign currency rate fluctuations; expectations regarding sources and uses of cash; and our general expectations regarding our operational or financial performance in the future. Forward-looking statements may be identified by words such as "seek", "believe", "plan", "estimate", "anticipate", “expect", "intend", "continue", "outlook", "may", "will", "should", "could", or "might", and other similar expressions. These forward-looking statements involve risks and uncertainties, as well as assumptions that, if they do not fully materialize or prove incorrect, could cause our results to differ materially from those expressed or implied by such forward-looking statements. Factors that could materially affect our business and financial results include, but are not limited to: difficulties increasing or maintaining our rate of revenue growth; our ability to attract new customers and retain and expand sales to existing customers; our ability to successfully develop and market new product offerings and product enhancements; changes in customer requirements; the potential effects of technological changes; the loss of one or more large customers; difficulties enhancing and maintaining our brand recognition; competition; lengthy sales cycles; challenges retaining key employees and successfully hiring and training qualified new employees; security breaches or cyber-attacks; real or perceived malfunctions or errors in our products; interruptions or delays in the performance of our products and solutions; reliance on third parties for certain products and data center services; our ability to effectively manage third party partnerships, acquisitions, divestitures, alliances, or joint ventures; economic recession, inflation, tariffs or trade disputes, and political instability; claims that we have infringed the intellectual property rights of others; changing laws, government regulations or policies; pressures on price levels; component shortages; delays and disruption in global transportation and supply chains; impairment of goodwill or amortizable intangible assets causing a significant charge to earnings; actions of activist stockholders; and exposure to increased economic and operational uncertainties from operating a global business, as well as other factors described in the “Risk Factors” section of our most recent Annual Report on Form 10-K (filed with the SEC on February 26, 2026). Our filings with the Securities and Exchange Commission and other important information can be found in the Investor Relations section of our website at investors.onespan.com. We do not have any intent, and disclaim any obligation, to update the forward-looking information to reflect events that occur, circumstances that exist or changes in our expectations after the date of this Form 10-Q, except as required by law.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website address is included in this Quarterly Report on Form 10-Q as an inactive textual reference only.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OneSpan helps organizations build secure, seamless, and trusted digital experiences through two solution portfolios: Cybersecurity and Digital Agreements. Our cybersecurity solutions protect identities, secure mobile apps, and safeguard access through advanced high-assurance authentication, threat intelligence, fraud prevention, and robust mobile app protection, defending users, devices, and applications against sophisticated attacks. Our digital agreement solutions streamline agreement workflows with secure e-signatures, identity verification, and smart digital forms, built to enable speed, compliance and exceptional customer experiences. Trusted by leading global enterprises, including more than 60% of the world’s 100 largest banks, OneSpan processes over 100 million digital agreements and billions of secure authentication transactions across more than 120 countries each year.</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offer our products primarily through a subscription licensing model and provide multiple deployment options, including cloud-based and on-premises solutions. Our solutions are sold worldwide through our direct sales force, as well as through distributors, resellers, systems integrators, and original equipment manufacturers.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200" w:after="240"/>
        <w:ind w:left="0" w:right="0" w:firstLine="720"/>
        <w:jc w:val="both"/>
        <w:rPr/>
      </w:pPr>
      <w:r>
        <w:rPr>
          <w:rFonts w:ascii="Times New Roman;serif" w:hAnsi="Times New Roman;serif"/>
          <w:b w:val="false"/>
          <w:color w:val="000000"/>
          <w:sz w:val="20"/>
        </w:rPr>
        <w:t xml:space="preserve">We report our financial results under the following two business units, which are our reportable operating segments: </w:t>
      </w:r>
      <w:r>
        <w:rPr>
          <w:rFonts w:ascii="Times New Roman;serif" w:hAnsi="Times New Roman;serif"/>
          <w:b w:val="false"/>
          <w:color w:val="000000"/>
          <w:sz w:val="20"/>
          <w:shd w:fill="FFFFFF" w:val="clear"/>
        </w:rPr>
        <w:t>Cybersecurity</w:t>
      </w:r>
      <w:r>
        <w:rPr>
          <w:color w:val="000000"/>
        </w:rPr>
        <w:t xml:space="preserve"> </w:t>
      </w:r>
      <w:r>
        <w:rPr>
          <w:rFonts w:ascii="Times New Roman;serif" w:hAnsi="Times New Roman;serif"/>
          <w:b w:val="false"/>
          <w:color w:val="000000"/>
          <w:sz w:val="20"/>
        </w:rPr>
        <w:t xml:space="preserve">and Digital Agreements. </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Cybersecurity</w:t>
      </w:r>
      <w:r>
        <w:rPr>
          <w:rFonts w:ascii="Times New Roman;serif" w:hAnsi="Times New Roman;serif"/>
          <w:b w:val="false"/>
          <w:color w:val="000000"/>
          <w:sz w:val="20"/>
        </w:rPr>
        <w:t xml:space="preserve">. Cybersecurity, formerly Security Solutions, consists of our broad portfolio of software products, software development kits ("SDKs") and Digipass authenticator devices that are used to build applications designed to defend against attacks on digital transactions across online environments, devices, and applications. The software products and SDKs included in the Cybersecurity segment are delivered through on-premises and cloud-based deployment models and include standards-based authentication technologies such as Fast Identity Online ("FIDO") authentication and passkeys, multi-factor authentication, transaction signing solutions and mobile application security. </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 xml:space="preserve">Digital Agreements. </w:t>
      </w:r>
      <w:r>
        <w:rPr>
          <w:rFonts w:ascii="Times New Roman;serif" w:hAnsi="Times New Roman;serif"/>
          <w:b w:val="false"/>
          <w:color w:val="000000"/>
          <w:sz w:val="20"/>
        </w:rPr>
        <w:t xml:space="preserve">Digital Agreements consists of solutions that enable our clients to secure and automate business processes associated with their digital agreement and customer transaction lifecycles that require consent, non-repudiation and compliance. These solutions, which are cloud-based, include OneSpan Sign e-signature, OneSpan Notary, and Identity Verification. </w:t>
      </w:r>
    </w:p>
    <w:p>
      <w:pPr>
        <w:pStyle w:val="TextBody"/>
        <w:bidi w:val="0"/>
        <w:spacing w:lineRule="auto" w:line="288" w:before="240" w:after="240"/>
        <w:ind w:left="0" w:right="0" w:firstLine="720"/>
        <w:jc w:val="both"/>
        <w:rPr/>
      </w:pPr>
      <w:r>
        <w:rPr>
          <w:rFonts w:ascii="Times New Roman;serif" w:hAnsi="Times New Roman;serif"/>
          <w:b w:val="false"/>
          <w:color w:val="000000"/>
          <w:sz w:val="20"/>
        </w:rPr>
        <w:t xml:space="preserve">We seek to drive profitable, efficient growth in both operating segments, with a particular emphasis on subscription revenue growth. Both operating segments were profitable for the three and six months ended June 30, 2026, and </w:t>
      </w:r>
      <w:r>
        <w:rPr>
          <w:rFonts w:ascii="Times New Roman;serif" w:hAnsi="Times New Roman;serif"/>
          <w:b w:val="false"/>
          <w:color w:val="000000"/>
          <w:sz w:val="20"/>
          <w:shd w:fill="FFFFFF" w:val="clear"/>
        </w:rPr>
        <w:t>Cybersecurity</w:t>
      </w:r>
      <w:r>
        <w:rPr>
          <w:color w:val="000000"/>
        </w:rPr>
        <w:t xml:space="preserve"> </w:t>
      </w:r>
      <w:r>
        <w:rPr>
          <w:rFonts w:ascii="Times New Roman;serif" w:hAnsi="Times New Roman;serif"/>
          <w:b w:val="false"/>
          <w:color w:val="000000"/>
          <w:sz w:val="20"/>
        </w:rPr>
        <w:t>and Digital Agreements subscription revenue</w:t>
      </w:r>
      <w:r>
        <w:rPr>
          <w:color w:val="000000"/>
          <w:shd w:fill="FFFFFF" w:val="clear"/>
        </w:rPr>
        <w:t xml:space="preserve"> </w:t>
      </w:r>
      <w:r>
        <w:rPr>
          <w:rFonts w:ascii="Times New Roman;serif" w:hAnsi="Times New Roman;serif"/>
          <w:b w:val="false"/>
          <w:color w:val="000000"/>
          <w:sz w:val="20"/>
          <w:shd w:fill="FFFFFF" w:val="clear"/>
        </w:rPr>
        <w:t>grew</w:t>
      </w:r>
      <w:r>
        <w:rPr>
          <w:color w:val="000000"/>
        </w:rPr>
        <w:t xml:space="preserve"> </w:t>
      </w:r>
      <w:r>
        <w:rPr>
          <w:rFonts w:ascii="Times New Roman;serif" w:hAnsi="Times New Roman;serif"/>
          <w:b w:val="false"/>
          <w:color w:val="000000"/>
          <w:sz w:val="20"/>
        </w:rPr>
        <w:t xml:space="preserve">2% and 25%, respectively, as compared to the three months ended June 30, 2025, respectively, and 5% and 18% as compared to the six months ended June 30, 2025, respectively. </w:t>
      </w:r>
    </w:p>
    <w:p>
      <w:pPr>
        <w:pStyle w:val="TextBody"/>
        <w:bidi w:val="0"/>
        <w:spacing w:lineRule="auto" w:line="288" w:before="240" w:after="240"/>
        <w:ind w:left="0" w:right="0" w:firstLine="720"/>
        <w:jc w:val="both"/>
        <w:rPr>
          <w:rFonts w:ascii="Times New Roman;serif" w:hAnsi="Times New Roman;serif"/>
          <w:b/>
          <w:color w:val="000000"/>
          <w:sz w:val="20"/>
        </w:rPr>
      </w:pPr>
      <w:r>
        <w:rPr>
          <w:rFonts w:ascii="Times New Roman;serif" w:hAnsi="Times New Roman;serif"/>
          <w:b/>
          <w:color w:val="000000"/>
          <w:sz w:val="20"/>
        </w:rPr>
        <w:t>Overview of Key Factors Impacting our Results of Operations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greater detail below in "Results of Operations", the following factors had a significant impact on our financial results for the three and six months ended June 30, 2026 as compared to the three and six months ended June 30, 2025. </w:t>
      </w:r>
    </w:p>
    <w:p>
      <w:pPr>
        <w:pStyle w:val="TextBody"/>
        <w:bidi w:val="0"/>
        <w:spacing w:lineRule="auto" w:line="288" w:before="240" w:after="240"/>
        <w:ind w:left="0" w:right="0" w:firstLine="720"/>
        <w:jc w:val="both"/>
        <w:rPr/>
      </w:pPr>
      <w:r>
        <w:rPr>
          <w:rFonts w:ascii="Times New Roman;serif" w:hAnsi="Times New Roman;serif"/>
          <w:b/>
          <w:color w:val="000000"/>
          <w:sz w:val="20"/>
          <w:shd w:fill="FFFFFF" w:val="clear"/>
        </w:rPr>
        <w:t>Foreign exchange rate impact for the six months ended June 30, 2026</w:t>
      </w:r>
      <w:r>
        <w:rPr>
          <w:rFonts w:ascii="Times New Roman;serif" w:hAnsi="Times New Roman;serif"/>
          <w:b w:val="false"/>
          <w:color w:val="000000"/>
          <w:sz w:val="20"/>
          <w:shd w:fill="FFFFFF" w:val="clear"/>
        </w:rPr>
        <w:t>. Changes in foreign exchange rates, in particular the weakening of the U.S. Dollar relative to the Eu</w:t>
      </w:r>
      <w:r>
        <w:rPr>
          <w:rFonts w:ascii="Times New Roman;serif" w:hAnsi="Times New Roman;serif"/>
          <w:b w:val="false"/>
          <w:color w:val="000000"/>
          <w:sz w:val="20"/>
        </w:rPr>
        <w:t>ro, favorably impacted both total revenue and Cybersecurity revenue by approximately $3.3 million and $3.0 million, respectively,</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months ended June 30, 2026 as compared to the same period in 2025. The impact of changes in foreign exchange rates on the Digital Agreements segment for this period was approximately</w:t>
      </w:r>
      <w:r>
        <w:rPr>
          <w:color w:val="000000"/>
        </w:rPr>
        <w:t xml:space="preserve"> </w:t>
      </w:r>
      <w:r>
        <w:rPr>
          <w:rFonts w:ascii="Times New Roman;serif" w:hAnsi="Times New Roman;serif"/>
          <w:b w:val="false"/>
          <w:color w:val="000000"/>
          <w:sz w:val="20"/>
        </w:rPr>
        <w:t xml:space="preserve">$0.3 million </w:t>
      </w:r>
      <w:r>
        <w:rPr>
          <w:rFonts w:ascii="Times New Roman;serif" w:hAnsi="Times New Roman;serif"/>
          <w:b w:val="false"/>
          <w:color w:val="000000"/>
          <w:sz w:val="20"/>
          <w:shd w:fill="FFFFFF" w:val="clear"/>
        </w:rPr>
        <w:t xml:space="preserve">as compared to the same period in 2025. </w:t>
      </w:r>
    </w:p>
    <w:p>
      <w:pPr>
        <w:pStyle w:val="TextBody"/>
        <w:bidi w:val="0"/>
        <w:spacing w:lineRule="auto" w:line="288" w:before="240" w:after="240"/>
        <w:ind w:left="0" w:right="0" w:firstLine="720"/>
        <w:jc w:val="both"/>
        <w:rPr/>
      </w:pPr>
      <w:r>
        <w:rPr>
          <w:rFonts w:ascii="Times New Roman;serif" w:hAnsi="Times New Roman;serif"/>
          <w:b/>
          <w:color w:val="000000"/>
          <w:sz w:val="20"/>
          <w:shd w:fill="FFFFFF" w:val="clear"/>
        </w:rPr>
        <w:t>Recent acquisitions.</w:t>
      </w:r>
      <w:r>
        <w:rPr>
          <w:color w:val="000000"/>
          <w:shd w:fill="FFFFFF" w:val="clear"/>
        </w:rPr>
        <w:t xml:space="preserve"> </w:t>
      </w:r>
      <w:r>
        <w:rPr>
          <w:rFonts w:ascii="Times New Roman;serif" w:hAnsi="Times New Roman;serif"/>
          <w:b w:val="false"/>
          <w:color w:val="000000"/>
          <w:sz w:val="20"/>
          <w:shd w:fill="FFFFFF" w:val="clear"/>
        </w:rPr>
        <w:t xml:space="preserve">In June 2025, we acquired Nok Nok Labs, Inc. ("Nok Nok Labs"), a leading provider of passwordless software authentication solutions, and in February 2026, we acquired Build38 GmbH ("Build38"), a leader in next-generation mobile application protection solutions. </w:t>
      </w:r>
      <w:r>
        <w:rPr>
          <w:rFonts w:ascii="Times New Roman;serif" w:hAnsi="Times New Roman;serif"/>
          <w:b w:val="false"/>
          <w:color w:val="000000"/>
          <w:sz w:val="20"/>
        </w:rPr>
        <w:t>S</w:t>
      </w:r>
      <w:r>
        <w:rPr>
          <w:rFonts w:ascii="Times New Roman;serif" w:hAnsi="Times New Roman;serif"/>
          <w:b w:val="false"/>
          <w:color w:val="000000"/>
          <w:sz w:val="20"/>
          <w:shd w:fill="FFFFFF" w:val="clear"/>
        </w:rPr>
        <w:t xml:space="preserve">ee Note 6, </w:t>
      </w:r>
      <w:r>
        <w:rPr>
          <w:rFonts w:ascii="Times New Roman;serif" w:hAnsi="Times New Roman;serif"/>
          <w:b w:val="false"/>
          <w:i/>
          <w:color w:val="000000"/>
          <w:sz w:val="20"/>
          <w:shd w:fill="FFFFFF" w:val="clear"/>
        </w:rPr>
        <w:t>Business Acquisitions,</w:t>
      </w:r>
      <w:r>
        <w:rPr>
          <w:color w:val="000000"/>
          <w:shd w:fill="FFFFFF" w:val="clear"/>
        </w:rPr>
        <w:t xml:space="preserve"> </w:t>
      </w:r>
      <w:r>
        <w:rPr>
          <w:rFonts w:ascii="Times New Roman;serif" w:hAnsi="Times New Roman;serif"/>
          <w:b w:val="false"/>
          <w:color w:val="000000"/>
          <w:sz w:val="20"/>
          <w:shd w:fill="FFFFFF" w:val="clear"/>
        </w:rPr>
        <w:t>for additional information about these two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Operating Results</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generate revenue from the sale of our subscriptions, perpetual maintenance and services, and Digipass hardware products. We believe comparison of revenues between periods is heavily influenced by the timing of orders and shipments, reflecting the transactional nature of significant parts of our business.</w:t>
      </w:r>
    </w:p>
    <w:p>
      <w:pPr>
        <w:pStyle w:val="TextBody"/>
        <w:bidi w:val="0"/>
        <w:spacing w:lineRule="auto" w:line="276" w:before="0" w:after="0"/>
        <w:ind w:left="0" w:right="0" w:hanging="360"/>
        <w:jc w:val="both"/>
        <w:rPr/>
      </w:pPr>
      <w:r>
        <w:rPr>
          <w:color w:val="000000"/>
        </w:rPr>
        <w:t>•</w:t>
      </w:r>
      <w:r>
        <w:rPr>
          <w:rFonts w:ascii="Times New Roman;serif" w:hAnsi="Times New Roman;serif"/>
          <w:b w:val="false"/>
          <w:i/>
          <w:color w:val="000000"/>
          <w:sz w:val="20"/>
        </w:rPr>
        <w:t>Product and license revenue</w:t>
      </w:r>
      <w:r>
        <w:rPr>
          <w:rFonts w:ascii="Times New Roman;serif" w:hAnsi="Times New Roman;serif"/>
          <w:b w:val="false"/>
          <w:color w:val="000000"/>
          <w:sz w:val="20"/>
        </w:rPr>
        <w:t xml:space="preserve">. Product and license revenue includes Digipass hardware products and software licenses, which are provided on a perpetual or term basis subscription model. </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i/>
          <w:color w:val="000000"/>
          <w:sz w:val="20"/>
        </w:rPr>
        <w:t>Service and other revenue</w:t>
      </w:r>
      <w:r>
        <w:rPr>
          <w:rFonts w:ascii="Times New Roman;serif" w:hAnsi="Times New Roman;serif"/>
          <w:b w:val="false"/>
          <w:color w:val="000000"/>
          <w:sz w:val="20"/>
        </w:rPr>
        <w:t>. Service and other revenue includes solutions that are provided on a cloud-based subscription model, term and perpetual maintenance and support, and services.</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total cost of goods sold consists of cost of product and license revenue and cost of service and other revenue. We expect our cost of goods sold to increase in absolute dollars as our business grows, although it may fluctuate as a percentage of total revenue from period to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0"/>
        </w:rPr>
        <w:t>Cost of product and license revenue</w:t>
      </w:r>
      <w:r>
        <w:rPr>
          <w:rFonts w:ascii="Times New Roman;serif" w:hAnsi="Times New Roman;serif"/>
          <w:b w:val="false"/>
          <w:color w:val="000000"/>
          <w:sz w:val="20"/>
        </w:rPr>
        <w:t xml:space="preserve">. Cost of product and license revenue primarily consists of direct product and license costs, including personnel costs, production costs, freight, and inventory write-off adjustments for discontinued products and services. </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i/>
          <w:color w:val="000000"/>
          <w:sz w:val="20"/>
        </w:rPr>
        <w:t>Cost of service and other revenue</w:t>
      </w:r>
      <w:r>
        <w:rPr>
          <w:rFonts w:ascii="Times New Roman;serif" w:hAnsi="Times New Roman;serif"/>
          <w:b w:val="false"/>
          <w:color w:val="000000"/>
          <w:sz w:val="20"/>
        </w:rPr>
        <w:t>. Cost of service and other revenue primarily consists of costs related to cloud subscription solutions, including personnel and equipment costs, depreciation, amortization, and personnel costs of employees providing professional services and maintenance and support.</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Gross profit is revenue net of the cost of goods sold. Gross profit as a percentage of total revenue, or gross margin, has been and will continue to be affected by a variety of factors, including our average selling price, manufacturing costs, the mix of products sold, and the mix of revenue among products, subscriptions and services. We expect our gross margins to fluctuate over time depending on these factors.</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operating expenses are generally based on anticipated revenue levels and fixed over short periods of time. As a result, small variations in revenue may cause significant variations in the period-to-period comparisons of operating income or operating income as a percentage of revenue.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Generally, the most significant factor driving our operating expenses is headcount. Direct compensation and benefit plan expenses generally represent between 50% and 60% of our operating expenses. In addition, a number of other expense categories are directly related to headcount. We attempt to manage our headcount within the context of the economic environments in which we operate and the investments we believe we need to make for our infrastructure to support future growth and for our products to remain competitive.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operating expenses have been impacted by changes in foreign exchange rates. We estimate the change in currency rates during the three months ended June 30, 2026 compared to the comparable prior year period resulted in an increase in operating expenses of $1.2 million.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comparison of operating expenses can also be impacted significantly by costs related to our stock-based and long-term incentive plans. Long-term incentive plan compensation expense includes both stock-based incentives and an immaterial amount of cash-based incentives. During the three months ended June 30, 2026 and 2025, operating expenses included $3.5 million and $3.5 million, respectively, of expenses related to stock-based and long-term incentive plans. During the six months ended June 30, 2026 and 2025, operating expenses included $5.3 million and $6.3 million, respectively, of expenses related to stock-based and long-term incentive plans.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w:t>
      </w:r>
    </w:p>
    <w:p>
      <w:pPr>
        <w:pStyle w:val="TextBody"/>
        <w:bidi w:val="0"/>
        <w:spacing w:before="0" w:after="0"/>
        <w:jc w:val="left"/>
        <w:rPr/>
      </w:pPr>
      <w:r>
        <w:rPr/>
      </w:r>
    </w:p>
    <w:p>
      <w:pPr>
        <w:pStyle w:val="TextBody"/>
        <w:bidi w:val="0"/>
        <w:spacing w:lineRule="auto" w:line="268" w:before="0" w:after="200"/>
        <w:ind w:left="0" w:right="0" w:hanging="360"/>
        <w:jc w:val="both"/>
        <w:rPr/>
      </w:pPr>
      <w:r>
        <w:rPr>
          <w:color w:val="000000"/>
        </w:rPr>
        <w:t>•</w:t>
      </w:r>
      <w:r>
        <w:rPr>
          <w:rFonts w:ascii="Times New Roman;serif" w:hAnsi="Times New Roman;serif"/>
          <w:b w:val="false"/>
          <w:i/>
          <w:color w:val="000000"/>
          <w:sz w:val="20"/>
        </w:rPr>
        <w:t>Sales and marketing</w:t>
      </w:r>
      <w:r>
        <w:rPr>
          <w:rFonts w:ascii="Times New Roman;serif" w:hAnsi="Times New Roman;serif"/>
          <w:b w:val="false"/>
          <w:color w:val="000000"/>
          <w:sz w:val="20"/>
        </w:rPr>
        <w:t>. Sales and marketing expenses consist primarily of personnel costs, commissions and bonuses, trade shows, marketing programs and other marketing activities, travel, outside consulting costs, and long-term incentive compensation. Our sales and marketing expenses may fluctuate as a percentage of total revenue.</w:t>
      </w:r>
    </w:p>
    <w:p>
      <w:pPr>
        <w:pStyle w:val="TextBody"/>
        <w:bidi w:val="0"/>
        <w:spacing w:lineRule="auto" w:line="268" w:before="0" w:after="200"/>
        <w:ind w:left="0" w:right="0" w:hanging="360"/>
        <w:jc w:val="both"/>
        <w:rPr/>
      </w:pPr>
      <w:r>
        <w:rPr>
          <w:color w:val="000000"/>
        </w:rPr>
        <w:t>•</w:t>
      </w: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Research and development expenses consist primarily of personnel costs and long-term incentive compensation. Our research and development expenses may fluctuate as a percentage of total revenue. </w:t>
      </w:r>
    </w:p>
    <w:p>
      <w:pPr>
        <w:pStyle w:val="TextBody"/>
        <w:bidi w:val="0"/>
        <w:spacing w:lineRule="auto" w:line="268" w:before="0" w:after="200"/>
        <w:ind w:left="0" w:right="0" w:hanging="360"/>
        <w:jc w:val="both"/>
        <w:rPr/>
      </w:pPr>
      <w:r>
        <w:rPr>
          <w:color w:val="000000"/>
        </w:rPr>
        <w:t>•</w:t>
      </w:r>
      <w:r>
        <w:rPr>
          <w:rFonts w:ascii="Times New Roman;serif" w:hAnsi="Times New Roman;serif"/>
          <w:b w:val="false"/>
          <w:i/>
          <w:color w:val="000000"/>
          <w:sz w:val="20"/>
        </w:rPr>
        <w:t>General and administrative</w:t>
      </w:r>
      <w:r>
        <w:rPr>
          <w:rFonts w:ascii="Times New Roman;serif" w:hAnsi="Times New Roman;serif"/>
          <w:b w:val="false"/>
          <w:color w:val="000000"/>
          <w:sz w:val="20"/>
        </w:rPr>
        <w:t>. General and administrative expenses consist primarily of personnel costs, legal, consulting and other professional fees, transaction related expenses, and long-term incentive compensation. Our general and administrative expenses may fluctuate as a percentage of total revenue.</w:t>
      </w:r>
    </w:p>
    <w:p>
      <w:pPr>
        <w:pStyle w:val="TextBody"/>
        <w:bidi w:val="0"/>
        <w:spacing w:lineRule="auto" w:line="268" w:before="0" w:after="200"/>
        <w:ind w:left="0" w:right="0" w:hanging="360"/>
        <w:jc w:val="both"/>
        <w:rPr/>
      </w:pPr>
      <w:r>
        <w:rPr>
          <w:color w:val="000000"/>
        </w:rPr>
        <w:t>•</w:t>
      </w:r>
      <w:r>
        <w:rPr>
          <w:rFonts w:ascii="Times New Roman;serif" w:hAnsi="Times New Roman;serif"/>
          <w:b w:val="false"/>
          <w:i/>
          <w:color w:val="000000"/>
          <w:sz w:val="20"/>
        </w:rPr>
        <w:t>Amortization of intangible assets</w:t>
      </w:r>
      <w:r>
        <w:rPr>
          <w:rFonts w:ascii="Times New Roman;serif" w:hAnsi="Times New Roman;serif"/>
          <w:b w:val="false"/>
          <w:color w:val="000000"/>
          <w:sz w:val="20"/>
        </w:rPr>
        <w:t xml:space="preserve">. Acquired intangible assets are amortized over their respective amortization periods and are periodically evaluated for impairment or changes in estimated useful life.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0"/>
        </w:rPr>
        <w:t xml:space="preserve">Restructuring and related charges. </w:t>
      </w:r>
      <w:r>
        <w:rPr>
          <w:rFonts w:ascii="Times New Roman;serif" w:hAnsi="Times New Roman;serif"/>
          <w:b w:val="false"/>
          <w:color w:val="000000"/>
          <w:sz w:val="20"/>
        </w:rPr>
        <w:t>Restructuring and other related charges consists of employee costs incurred in connection with headcount reductions, which include severance, retention pay, and related benefits, real estate rationalization costs, which include lease contract termination costs, asset impairment charges, and lease right-of-use asset and lease liability write-off gains or losses; product and services optimization costs, which include write-offs of capitalized software assets no longer in use; write-offs of acquired technology and capitalized software; and vendor rationalization costs for contractually committed services that we are no longer utilizing. Prior to 2026, these costs were incurred in connection with restructuring plans previously approved by the Company's Board of Directors. There were no costs recorded for restructuring and related charges during the six months ended June 30, 2026.</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Segment Results</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Segment operating income (loss) consists of the revenue generated by a segment, less the direct costs of revenue, sales and marketing, research and development amortization and any impairment charges that are incurred directly by a segment. Unallocated corporate costs include general and administrative expense and other company-wide costs that are not attributable to a particular segment. Financial results by reportable operating segment are included below under Results of Operations. As of December 31, 2024, we adopted ASU 2023-07, Segment Reporting (Topic 280) to improve reportable segment disclosure requirements, primarily through enhanced disclosures about significant segment expenses. See Note 3, </w:t>
      </w:r>
      <w:r>
        <w:rPr>
          <w:rFonts w:ascii="Times New Roman;serif" w:hAnsi="Times New Roman;serif"/>
          <w:b w:val="false"/>
          <w:i/>
          <w:color w:val="000000"/>
          <w:sz w:val="20"/>
        </w:rPr>
        <w:t>Segment Information</w:t>
      </w:r>
      <w:r>
        <w:rPr>
          <w:rFonts w:ascii="Times New Roman;serif" w:hAnsi="Times New Roman;serif"/>
          <w:b w:val="false"/>
          <w:color w:val="000000"/>
          <w:sz w:val="20"/>
        </w:rPr>
        <w:t>, for additional information.</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Interest (Expense) Income, Net</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income, net, consists of income earned on our cash equivalents, which are invested in short-term instruments at current market rates and expense primarily related to the amortization of debt issuance costs associated with our credit facilities. </w:t>
      </w:r>
    </w:p>
    <w:p>
      <w:pPr>
        <w:pStyle w:val="TextBody"/>
        <w:bidi w:val="0"/>
        <w:spacing w:lineRule="auto" w:line="276"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primarily includes exchange gains (losses) on transactions that are denominated in currencies other than our subsidiaries’ functional currencies, subsidies received from foreign governments in support of our research and development in those countries and other miscellaneous non-operational expenses. </w:t>
      </w: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Our effective tax rate reflects our global structure related to the ownership of our intellectual property (“IP”). The IP in our </w:t>
      </w:r>
      <w:r>
        <w:rPr>
          <w:rFonts w:ascii="Times New Roman;serif" w:hAnsi="Times New Roman;serif"/>
          <w:b w:val="false"/>
          <w:color w:val="000000"/>
          <w:sz w:val="20"/>
          <w:shd w:fill="FFFFFF" w:val="clear"/>
        </w:rPr>
        <w:t>Cybersecurity</w:t>
      </w:r>
      <w:r>
        <w:rPr>
          <w:color w:val="000000"/>
        </w:rPr>
        <w:t xml:space="preserve"> </w:t>
      </w:r>
      <w:r>
        <w:rPr>
          <w:rFonts w:ascii="Times New Roman;serif" w:hAnsi="Times New Roman;serif"/>
          <w:b w:val="false"/>
          <w:color w:val="000000"/>
          <w:sz w:val="20"/>
        </w:rPr>
        <w:t>business is owned by our U.S. and German subsidiaries. The e-signature IP in our Digital Agreements business is owned by a subsidiary in Canada. These subsidiaries have entered into agreements with most of the other OneSpan entities under which those other entities provide services to the IP owners on either a percentage of revenue or on a cost plus basis or both. Under this structure, the earnings of our service provider subsidiaries are relatively constant. These service provider companies tend to be in jurisdictions with higher effective tax rates. Fluctuations in earnings flow to the IP owners.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the effective tax rate reflect changes in the geographic mix of earnings and the tax rates in each of the countries in which it is earned. The statutory tax rate for the primary foreign tax jurisdictions ranges from 17% to 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Impact of Currency Fluctuations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we generated approximately 76% and 78% of our revenues, respectively, and incurred approximately 57% and 54% of our operating expenses, respectively, outside of the U.S. During the six months ended June 30, 2026 and 2025, we generated approximately 78% and 81% of our revenues, respectively, and incurred approximately 57% and 56% of our operating expenses, respectively, outside of the U.S. As a result, changes in currency exchange rates, especially the Euro exchange rate and the Canadian Dollar exchange rate, can have a significant impact on our revenue and operating expenses.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the majority of our revenue is generated outside of the U.S., a significant amount of our revenue earned during the six months ended June 30, 2026 was denominated in U.S. Dollars. For the six months ended June 30, 2026, approximately 60% of our revenue was denominated in U.S. Dollars, 37% was denominated in Euros and 3% was denominated in other currencies. For the six months ended June 30, 2025, approximately 56% of our revenue was denominated in U.S. Dollars, 41% was denominated in Euros and 3% was denominated in other currencies.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to minimize the net impact of currency fluctuations on operating income, we attempt to denominate an amount of billings in a currency such that it would provide a natural hedge against the operating expenses being incurred in that currency. We expect that changes in currency rates may impact our future results if we are unable to match amounts of revenue with our operating expenses in the same currency. If the amount of our revenue in Europe denominated in Euros continues as it is now or declines, we may not be able to balance fully the exposures of currency exchange rates on revenue and operating expenses.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position and the results of operations of our foreign subsidiaries, with the exception of our subsidiaries in Switzerland, Singapore and Canada, are measured using the local currency as the functional currency. The functional currency for our subsidiaries in Switzerland, Singapore and Canada is the U.S. Dollar. Accordingly, assets and liabilities of our foreign subsidiaries are translated into U.S. Dollars using current exchange rates as of the balance sheet date. Revenues and expenses are translated at average exchange rates prevailing during the year.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Translation adjustments arising from differences in exchange rates generated a comprehensive loss of $0.4 million and $2.3 million during the three and six months ended June 30, 2026, respectively. For the three and six months ended June 30, 2025, translation adjustments arising from differences in exchange rates generated a comprehensive gain of $5.5 million and $8.2 million,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Gains and losses resulting from foreign currency transactions are included in the condensed consolidated statements of operations in other income (expense), net. Foreign exchange transaction losses aggregated $0.2 million and $0.7 million for the three and six months ended June 30, 2026, respectively. For the three and six months ended June 30, 2025, losses resulting from foreign currency transactions were $1.0 million and $1.1 million, respectively.</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about the Company's two operating segments, for the periods indicated, and selected segment and condensed consolidated operating results. Unallocated corporate costs include costs related to administrative functions that are performed in a centralized manner that are not attributable to a particular segment.</w:t>
      </w:r>
    </w:p>
    <w:tbl>
      <w:tblPr>
        <w:tblW w:w="9536" w:type="dxa"/>
        <w:jc w:val="left"/>
        <w:tblInd w:w="0" w:type="dxa"/>
        <w:tblLayout w:type="fixed"/>
        <w:tblCellMar>
          <w:top w:w="28" w:type="dxa"/>
          <w:left w:w="28" w:type="dxa"/>
          <w:bottom w:w="28" w:type="dxa"/>
          <w:right w:w="28" w:type="dxa"/>
        </w:tblCellMar>
      </w:tblPr>
      <w:tblGrid>
        <w:gridCol w:w="1064"/>
        <w:gridCol w:w="937"/>
        <w:gridCol w:w="939"/>
        <w:gridCol w:w="211"/>
        <w:gridCol w:w="721"/>
        <w:gridCol w:w="271"/>
        <w:gridCol w:w="109"/>
        <w:gridCol w:w="109"/>
        <w:gridCol w:w="109"/>
        <w:gridCol w:w="263"/>
        <w:gridCol w:w="899"/>
        <w:gridCol w:w="338"/>
        <w:gridCol w:w="109"/>
        <w:gridCol w:w="109"/>
        <w:gridCol w:w="109"/>
        <w:gridCol w:w="483"/>
        <w:gridCol w:w="931"/>
        <w:gridCol w:w="250"/>
        <w:gridCol w:w="109"/>
        <w:gridCol w:w="109"/>
        <w:gridCol w:w="109"/>
        <w:gridCol w:w="211"/>
        <w:gridCol w:w="721"/>
        <w:gridCol w:w="316"/>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19,538 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14,592 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75 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color w:val="000000"/>
              </w:rPr>
              <w:t xml:space="preserve"> </w:t>
            </w:r>
            <w:r>
              <w:rPr>
                <w:rFonts w:ascii="Times New Roman;serif" w:hAnsi="Times New Roman;serif"/>
                <w:b w:val="false"/>
                <w:color w:val="000000"/>
                <w:sz w:val="20"/>
              </w:rPr>
              <w:t>(1)(3)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 (2)(4)</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6,972 </w:t>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(12,050)</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8,741 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tbl>
      <w:tblPr>
        <w:tblW w:w="9536" w:type="dxa"/>
        <w:jc w:val="left"/>
        <w:tblInd w:w="0" w:type="dxa"/>
        <w:tblLayout w:type="fixed"/>
        <w:tblCellMar>
          <w:top w:w="28" w:type="dxa"/>
          <w:left w:w="28" w:type="dxa"/>
          <w:bottom w:w="28" w:type="dxa"/>
          <w:right w:w="28" w:type="dxa"/>
        </w:tblCellMar>
      </w:tblPr>
      <w:tblGrid>
        <w:gridCol w:w="1064"/>
        <w:gridCol w:w="937"/>
        <w:gridCol w:w="939"/>
        <w:gridCol w:w="211"/>
        <w:gridCol w:w="721"/>
        <w:gridCol w:w="271"/>
        <w:gridCol w:w="109"/>
        <w:gridCol w:w="109"/>
        <w:gridCol w:w="109"/>
        <w:gridCol w:w="263"/>
        <w:gridCol w:w="899"/>
        <w:gridCol w:w="338"/>
        <w:gridCol w:w="109"/>
        <w:gridCol w:w="109"/>
        <w:gridCol w:w="109"/>
        <w:gridCol w:w="483"/>
        <w:gridCol w:w="931"/>
        <w:gridCol w:w="250"/>
        <w:gridCol w:w="109"/>
        <w:gridCol w:w="109"/>
        <w:gridCol w:w="109"/>
        <w:gridCol w:w="211"/>
        <w:gridCol w:w="721"/>
        <w:gridCol w:w="316"/>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15,608 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11,145 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71 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color w:val="000000"/>
              </w:rPr>
              <w:t xml:space="preserve"> </w:t>
            </w:r>
            <w:r>
              <w:rPr>
                <w:rFonts w:ascii="Times New Roman;serif" w:hAnsi="Times New Roman;serif"/>
                <w:b w:val="false"/>
                <w:color w:val="000000"/>
                <w:sz w:val="20"/>
              </w:rPr>
              <w:t>(1)(3)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 (2)(4)</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(12,172)</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10,569 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641" w:type="dxa"/>
        <w:jc w:val="left"/>
        <w:tblInd w:w="0" w:type="dxa"/>
        <w:tblLayout w:type="fixed"/>
        <w:tblCellMar>
          <w:top w:w="28" w:type="dxa"/>
          <w:left w:w="28" w:type="dxa"/>
          <w:bottom w:w="28" w:type="dxa"/>
          <w:right w:w="28" w:type="dxa"/>
        </w:tblCellMar>
      </w:tblPr>
      <w:tblGrid>
        <w:gridCol w:w="1064"/>
        <w:gridCol w:w="937"/>
        <w:gridCol w:w="939"/>
        <w:gridCol w:w="211"/>
        <w:gridCol w:w="721"/>
        <w:gridCol w:w="271"/>
        <w:gridCol w:w="109"/>
        <w:gridCol w:w="109"/>
        <w:gridCol w:w="109"/>
        <w:gridCol w:w="263"/>
        <w:gridCol w:w="899"/>
        <w:gridCol w:w="338"/>
        <w:gridCol w:w="109"/>
        <w:gridCol w:w="109"/>
        <w:gridCol w:w="109"/>
        <w:gridCol w:w="483"/>
        <w:gridCol w:w="931"/>
        <w:gridCol w:w="250"/>
        <w:gridCol w:w="109"/>
        <w:gridCol w:w="109"/>
        <w:gridCol w:w="109"/>
        <w:gridCol w:w="211"/>
        <w:gridCol w:w="826"/>
        <w:gridCol w:w="316"/>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89,475 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36,938 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126,413 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9,739 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27,199 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92,997 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segment items (1)(3)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 (2)(4)</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12,254 </w:t>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23,558 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23,046 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tbl>
      <w:tblPr>
        <w:tblW w:w="9641" w:type="dxa"/>
        <w:jc w:val="left"/>
        <w:tblInd w:w="0" w:type="dxa"/>
        <w:tblLayout w:type="fixed"/>
        <w:tblCellMar>
          <w:top w:w="28" w:type="dxa"/>
          <w:left w:w="28" w:type="dxa"/>
          <w:bottom w:w="28" w:type="dxa"/>
          <w:right w:w="28" w:type="dxa"/>
        </w:tblCellMar>
      </w:tblPr>
      <w:tblGrid>
        <w:gridCol w:w="1064"/>
        <w:gridCol w:w="937"/>
        <w:gridCol w:w="939"/>
        <w:gridCol w:w="211"/>
        <w:gridCol w:w="721"/>
        <w:gridCol w:w="271"/>
        <w:gridCol w:w="109"/>
        <w:gridCol w:w="109"/>
        <w:gridCol w:w="109"/>
        <w:gridCol w:w="263"/>
        <w:gridCol w:w="899"/>
        <w:gridCol w:w="338"/>
        <w:gridCol w:w="109"/>
        <w:gridCol w:w="109"/>
        <w:gridCol w:w="109"/>
        <w:gridCol w:w="483"/>
        <w:gridCol w:w="931"/>
        <w:gridCol w:w="250"/>
        <w:gridCol w:w="109"/>
        <w:gridCol w:w="109"/>
        <w:gridCol w:w="109"/>
        <w:gridCol w:w="211"/>
        <w:gridCol w:w="826"/>
        <w:gridCol w:w="316"/>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91,948 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31,261 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123,209 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22,151 </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91,058 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71 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segment items (1)(3)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 (2)(4)</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6,245 </w:t>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(22,515)</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27,688 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28,434 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*Percentage not meaningful.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Cybersecurity other segment items includes general and administrative expense and amortization of intangibles for the three months ended June 30, 2026, and general and administrative expense, write-off of assets, and amortization of intangibles for the six months ended June 30, 2026. Cybersecurity other segment items includes general and administrative expense and restructuring and other related charges for the three and six months ended June 30,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(2) Cybersecurity operating income includes $1.0 million and $1.7 million of total amortization and depreciation expense for the three and six months ended June 30, 2026, respectively. Cybersecurity operating income includes $0.2 million and $0.4 million of total amortization and depreciation expense for the three and six months ended June 30, 2025,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Cybersecurity operating income does not include any restructuring and other related charges for the three and six months ended June 30, 2026. Cybersecurity operating income includes $0.1 million and $0.2 million of restructuring and other related charges for the three and six months ended June 30, 2025, respectively.</w:t>
      </w:r>
    </w:p>
    <w:p>
      <w:pPr>
        <w:pStyle w:val="TextBody"/>
        <w:bidi w:val="0"/>
        <w:spacing w:lineRule="auto" w:line="288" w:before="120" w:after="283"/>
        <w:jc w:val="both"/>
        <w:rPr/>
      </w:pPr>
      <w:r>
        <w:rPr>
          <w:rFonts w:ascii="Times New Roman;serif" w:hAnsi="Times New Roman;serif"/>
          <w:b w:val="false"/>
          <w:color w:val="000000"/>
          <w:sz w:val="20"/>
        </w:rPr>
        <w:t xml:space="preserve">(3) Digital Agreements other segment items includes general and administrative expense and amortization of intangibles for the three and six months ended June 30, 2026. </w:t>
      </w:r>
      <w:r>
        <w:rPr>
          <w:rFonts w:ascii="Times New Roman;serif" w:hAnsi="Times New Roman;serif"/>
          <w:b w:val="false"/>
          <w:color w:val="000000"/>
          <w:sz w:val="20"/>
          <w:shd w:fill="FFFFFF" w:val="clear"/>
        </w:rPr>
        <w:t xml:space="preserve">Digital Agreements other segment items includes general and administrative expense and restructuring and other related charges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June 30,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(4) Digital Agreements operating income includes $2.2 million and $4.3 million of total amortization and depreciation expense for the three and six months ended June 30, 2026, respectively. Digital Agreements operating income includes $1.8 million and $3.5 million of total amortization and depreciation expense for the three and six months ended June 30, 2025, respectively.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Digital Agreements operating income does not include any restructuring and other related charges for the three and six months ended June 30, 2026.</w:t>
      </w:r>
    </w:p>
    <w:p>
      <w:pPr>
        <w:pStyle w:val="TextBody"/>
        <w:bidi w:val="0"/>
        <w:spacing w:lineRule="auto" w:line="288" w:before="120" w:after="283"/>
        <w:jc w:val="both"/>
        <w:rPr/>
      </w:pPr>
      <w:r>
        <w:rPr>
          <w:rFonts w:ascii="Times New Roman;serif" w:hAnsi="Times New Roman;serif"/>
          <w:b w:val="false"/>
          <w:color w:val="000000"/>
          <w:sz w:val="20"/>
        </w:rPr>
        <w:t>Digital Agreements operating income includes $0.1 million and</w:t>
      </w:r>
      <w:r>
        <w:rPr>
          <w:color w:val="000000"/>
        </w:rPr>
        <w:t xml:space="preserve"> </w:t>
      </w:r>
      <w:r>
        <w:rPr>
          <w:rFonts w:ascii="Times New Roman;serif" w:hAnsi="Times New Roman;serif"/>
          <w:b w:val="false"/>
          <w:color w:val="000000"/>
          <w:sz w:val="20"/>
        </w:rPr>
        <w:t>$0.2 million of restructuring and other related charges for the three and six months ended June 30, 2025, respectively.</w:t>
      </w:r>
    </w:p>
    <w:p>
      <w:pPr>
        <w:pStyle w:val="TextBody"/>
        <w:bidi w:val="0"/>
        <w:spacing w:before="240" w:after="283"/>
        <w:ind w:left="0" w:right="0" w:hanging="360"/>
        <w:jc w:val="both"/>
        <w:rPr/>
      </w:pPr>
      <w:r>
        <w:rPr/>
      </w:r>
    </w:p>
    <w:p>
      <w:pPr>
        <w:pStyle w:val="TextBody"/>
        <w:bidi w:val="0"/>
        <w:spacing w:before="240" w:after="283"/>
        <w:ind w:left="0" w:right="0" w:hanging="360"/>
        <w:jc w:val="both"/>
        <w:rPr/>
      </w:pPr>
      <w:r>
        <w:rPr/>
      </w:r>
    </w:p>
    <w:p>
      <w:pPr>
        <w:pStyle w:val="TextBody"/>
        <w:bidi w:val="0"/>
        <w:spacing w:before="240" w:after="283"/>
        <w:ind w:left="0" w:right="0" w:hanging="360"/>
        <w:jc w:val="both"/>
        <w:rPr/>
      </w:pPr>
      <w:r>
        <w:rPr/>
      </w:r>
    </w:p>
    <w:p>
      <w:pPr>
        <w:pStyle w:val="TextBody"/>
        <w:bidi w:val="0"/>
        <w:spacing w:before="240" w:after="283"/>
        <w:ind w:left="0" w:right="0" w:hanging="360"/>
        <w:jc w:val="both"/>
        <w:rPr/>
      </w:pPr>
      <w:r>
        <w:rPr/>
      </w:r>
    </w:p>
    <w:p>
      <w:pPr>
        <w:pStyle w:val="TextBody"/>
        <w:bidi w:val="0"/>
        <w:spacing w:before="240" w:after="283"/>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240" w:after="283"/>
        <w:ind w:left="0" w:right="0" w:hanging="36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by products and services allocated to the segments for the three and six months ended June 30, 2026, and 2025 is as follows:</w:t>
      </w:r>
    </w:p>
    <w:tbl>
      <w:tblPr>
        <w:tblW w:w="9278" w:type="dxa"/>
        <w:jc w:val="left"/>
        <w:tblInd w:w="0" w:type="dxa"/>
        <w:tblLayout w:type="fixed"/>
        <w:tblCellMar>
          <w:top w:w="28" w:type="dxa"/>
          <w:left w:w="28" w:type="dxa"/>
          <w:bottom w:w="28" w:type="dxa"/>
          <w:right w:w="28" w:type="dxa"/>
        </w:tblCellMar>
      </w:tblPr>
      <w:tblGrid>
        <w:gridCol w:w="1086"/>
        <w:gridCol w:w="956"/>
        <w:gridCol w:w="958"/>
        <w:gridCol w:w="228"/>
        <w:gridCol w:w="779"/>
        <w:gridCol w:w="119"/>
        <w:gridCol w:w="109"/>
        <w:gridCol w:w="109"/>
        <w:gridCol w:w="109"/>
        <w:gridCol w:w="304"/>
        <w:gridCol w:w="1039"/>
        <w:gridCol w:w="157"/>
        <w:gridCol w:w="109"/>
        <w:gridCol w:w="109"/>
        <w:gridCol w:w="109"/>
        <w:gridCol w:w="228"/>
        <w:gridCol w:w="779"/>
        <w:gridCol w:w="119"/>
        <w:gridCol w:w="109"/>
        <w:gridCol w:w="109"/>
        <w:gridCol w:w="109"/>
        <w:gridCol w:w="300"/>
        <w:gridCol w:w="1026"/>
        <w:gridCol w:w="219"/>
      </w:tblGrid>
      <w:tr>
        <w:trPr/>
        <w:tc>
          <w:tcPr>
            <w:tcW w:w="10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Subscription </w:t>
            </w:r>
            <w:r>
              <w:rPr>
                <w:rFonts w:ascii="Times New Roman;serif" w:hAnsi="Times New Roman;serif"/>
                <w:b w:val="false"/>
                <w:color w:val="000000"/>
                <w:sz w:val="18"/>
              </w:rPr>
              <w:t>(1)</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15,599 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maintenance and services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products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40,928 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19,538 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44,235 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15,608 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78" w:type="dxa"/>
        <w:jc w:val="left"/>
        <w:tblInd w:w="0" w:type="dxa"/>
        <w:tblLayout w:type="fixed"/>
        <w:tblCellMar>
          <w:top w:w="28" w:type="dxa"/>
          <w:left w:w="28" w:type="dxa"/>
          <w:bottom w:w="28" w:type="dxa"/>
          <w:right w:w="28" w:type="dxa"/>
        </w:tblCellMar>
      </w:tblPr>
      <w:tblGrid>
        <w:gridCol w:w="1086"/>
        <w:gridCol w:w="956"/>
        <w:gridCol w:w="958"/>
        <w:gridCol w:w="228"/>
        <w:gridCol w:w="779"/>
        <w:gridCol w:w="119"/>
        <w:gridCol w:w="109"/>
        <w:gridCol w:w="109"/>
        <w:gridCol w:w="109"/>
        <w:gridCol w:w="304"/>
        <w:gridCol w:w="1039"/>
        <w:gridCol w:w="157"/>
        <w:gridCol w:w="109"/>
        <w:gridCol w:w="109"/>
        <w:gridCol w:w="109"/>
        <w:gridCol w:w="228"/>
        <w:gridCol w:w="779"/>
        <w:gridCol w:w="119"/>
        <w:gridCol w:w="109"/>
        <w:gridCol w:w="109"/>
        <w:gridCol w:w="109"/>
        <w:gridCol w:w="300"/>
        <w:gridCol w:w="1026"/>
        <w:gridCol w:w="219"/>
      </w:tblGrid>
      <w:tr>
        <w:trPr/>
        <w:tc>
          <w:tcPr>
            <w:tcW w:w="10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Subscription </w:t>
            </w:r>
            <w:r>
              <w:rPr>
                <w:rFonts w:ascii="Times New Roman;serif" w:hAnsi="Times New Roman;serif"/>
                <w:b w:val="false"/>
                <w:color w:val="000000"/>
                <w:sz w:val="18"/>
              </w:rPr>
              <w:t>(1)</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31,168 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maintenance and services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products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89,475 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36,938 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91,948 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31,261 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(1) Cybersecurity and Digital Agreements Subscription revenue during the three months ended June 30, 2025 includes $5.9 million and less than $0.1 million, respectively, of term maintenance that has been reclassified from maintenance and services to align with the revised presentation of revenue. Cybersecurity and Digital Agreements Subscription revenue during the six months ended June 30, 2025 includes $11.0 million</w:t>
      </w:r>
      <w:r>
        <w:rPr>
          <w:color w:val="000000"/>
        </w:rPr>
        <w:t xml:space="preserve"> </w:t>
      </w:r>
      <w:r>
        <w:rPr>
          <w:rFonts w:ascii="Times New Roman;serif" w:hAnsi="Times New Roman;serif"/>
          <w:b w:val="false"/>
          <w:color w:val="000000"/>
          <w:sz w:val="20"/>
        </w:rPr>
        <w:t xml:space="preserve">and less than $0.1 million, respectively, of term maintenance that has been reclassified from maintenance and services to align with the revised presentation of revenue. See Note 4,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for additional information.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increased by $0.6 million, or 1%, during the three months ended June 30, 2026 compared to the three months ended June 30, 2025. Changes in foreign exchange rates as compared to the same period in 2025 favorably impacted revenue by approximately $0.6 million. Total revenue increased by $3.2 million, or 3%, during the six months ended June 30, 2026 compared to the six months ended June 30, 2025. Changes in foreign exchange rates as compared to the same period in 2025 favorably impacted revenue by approximately $3.3 million.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information on our revenue by segment follows.</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 xml:space="preserve">Cybersecurity </w:t>
      </w:r>
      <w:r>
        <w:rPr>
          <w:rFonts w:ascii="Times New Roman;serif" w:hAnsi="Times New Roman;serif"/>
          <w:b w:val="false"/>
          <w:color w:val="000000"/>
          <w:sz w:val="20"/>
        </w:rPr>
        <w:t>revenue decreased $3.3 million, or approximately 7%, during the three months ended June 30, 2026, compared to the three months ended June 30, 2025. For the six months ended June 30, 2026, Cybersecurity</w:t>
      </w:r>
      <w:r>
        <w:rPr>
          <w:color w:val="000000"/>
        </w:rPr>
        <w:t xml:space="preserve"> </w:t>
      </w:r>
      <w:r>
        <w:rPr>
          <w:rFonts w:ascii="Times New Roman;serif" w:hAnsi="Times New Roman;serif"/>
          <w:b w:val="false"/>
          <w:color w:val="000000"/>
          <w:sz w:val="20"/>
        </w:rPr>
        <w:t xml:space="preserve">revenue decreased $2.5 million, or approximately 3%, compared to the six months ended June 30, 2025. The decrease in Cybersecurity revenue for both periods was primarily due to lower hardware revenue, partially offset by an increase in software revenue. The decrease in hardware revenue was due to lower volume of hardware devices sold, partially offset by favorable customer mix. The increase in software revenue was due to an increase in subscription revenue primarily due to the two recent acquisitions and existing customer expansions, partially offset by lower multi-year term license revenue, the timing of customer renewals, and lower perpetual maintenance revenue due to contract transitions to term-based arrangements. Changes in foreign exchange rates for the three months ended June 30, 2026 compared to the same period in 2025 favorably impacted Cybersecurity revenue by $0.5 million. Changes in foreign exchange rates for the six months ended June 30, 2026 compared to the same period in 2025 favorably impacted Cybersecurity revenue by $3.1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Digital Agreements</w:t>
      </w:r>
      <w:r>
        <w:rPr>
          <w:color w:val="000000"/>
        </w:rPr>
        <w:t xml:space="preserve"> </w:t>
      </w:r>
      <w:r>
        <w:rPr>
          <w:rFonts w:ascii="Times New Roman;serif" w:hAnsi="Times New Roman;serif"/>
          <w:b w:val="false"/>
          <w:color w:val="000000"/>
          <w:sz w:val="20"/>
        </w:rPr>
        <w:t>revenue increased $3.9 million, or 25%, during the three months ended June 30, 2026, compared to the three months ended June 30, 2025. For the six months ended June 30, 2026, Digital Agreements revenue increased $5.7 million, or 18%, during the six months ended June 30, 2026, compared to the six months ended June 30, 2025. The increase for both periods was primarily attributable to an increase in subscription revenue from existing customer expansions and overage usage fees. Changes in foreign exchange rates for the three months ended June 30, 2026, compared to the same period in 2025, favorably impacted Digital Agreements revenue by $0.1 million. Changes in foreign exchange rates for the six months ended June 30, 2026, compared to the same period in 2025, favorably impacted Digital Agreements revenue by $0.3 million.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revenue is heavily influenced by the timing of orders and shipments, as well as the timing of customer annual and multi-year renewals in any given period. As a result, we believe that the overall strength of our business is best evaluated over a longer term where the impact of transactions in any given period is not as significant as in a quarter-over-quarter comparison.</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Revenue by Geographic Regions:</w:t>
      </w:r>
      <w:r>
        <w:rPr>
          <w:color w:val="000000"/>
        </w:rPr>
        <w:t xml:space="preserve"> </w:t>
      </w:r>
      <w:r>
        <w:rPr>
          <w:rFonts w:ascii="Times New Roman;serif" w:hAnsi="Times New Roman;serif"/>
          <w:b w:val="false"/>
          <w:color w:val="000000"/>
          <w:sz w:val="20"/>
        </w:rPr>
        <w:t>We classify our sales by customer location in three geographic regions: 1) the Americas, which includes North, Central, and South America; 2) EMEA, which includes Europe, Middle East and Africa; and 3) Asia Pacific (APAC), which includes Australia and New Zealand. The breakdown of revenue in each of our major geographic areas was as follows:</w:t>
      </w:r>
    </w:p>
    <w:tbl>
      <w:tblPr>
        <w:tblW w:w="9097" w:type="dxa"/>
        <w:jc w:val="left"/>
        <w:tblInd w:w="0" w:type="dxa"/>
        <w:tblLayout w:type="fixed"/>
        <w:tblCellMar>
          <w:top w:w="28" w:type="dxa"/>
          <w:left w:w="28" w:type="dxa"/>
          <w:bottom w:w="28" w:type="dxa"/>
          <w:right w:w="28" w:type="dxa"/>
        </w:tblCellMar>
      </w:tblPr>
      <w:tblGrid>
        <w:gridCol w:w="1064"/>
        <w:gridCol w:w="937"/>
        <w:gridCol w:w="939"/>
        <w:gridCol w:w="211"/>
        <w:gridCol w:w="721"/>
        <w:gridCol w:w="271"/>
        <w:gridCol w:w="109"/>
        <w:gridCol w:w="109"/>
        <w:gridCol w:w="109"/>
        <w:gridCol w:w="211"/>
        <w:gridCol w:w="721"/>
        <w:gridCol w:w="271"/>
        <w:gridCol w:w="211"/>
        <w:gridCol w:w="826"/>
        <w:gridCol w:w="271"/>
        <w:gridCol w:w="109"/>
        <w:gridCol w:w="109"/>
        <w:gridCol w:w="109"/>
        <w:gridCol w:w="211"/>
        <w:gridCol w:w="826"/>
        <w:gridCol w:w="271"/>
        <w:gridCol w:w="109"/>
        <w:gridCol w:w="109"/>
        <w:gridCol w:w="109"/>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126,413 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123,209 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Total Revenue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revenue generated in the Americas was $3.9 million, or 16%, higher than the three months ended June 30, 2025. For the six months ended June 30, 2026, revenue generated in the Americas was $7.9 million, or 18%, higher than the same period in 2025. The increase in revenue for both periods was largely due to an increase in Digital Agreements revenue, and to a lesser extent, Cybersecurity software revenue.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revenue generated in EMEA was $2.5 million, or 10%, lower than the same period in 2025. For the six months ended June 30, 2026, revenue generated in EMEA was $4.9 million, or 9%, lower than the same period in 2025. The decrease for both periods was primarily due to a decrease in Cybersecurity hardware and software revenues, partially offset by an increase in Digital Agreements revenue.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revenue generated in APAC was $0.8 million, or 6%, lower than the three months ended June 30, 2025, primarily due to lower Cybersecurity hardware revenue, offset partially by Cybersecurity software revenue. For the six months ended June 30, 2026, revenue generated in APAC was $0.2 million, or 1%, higher than the same period in 2025 due to an increase in Cybersecurity software revenue, offset partially by a decrease in Cybersecurity hardware revenue.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Goods Sold and Gross Margin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cost of goods sold for our products and services for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tbl>
      <w:tblPr>
        <w:tblW w:w="8778" w:type="dxa"/>
        <w:jc w:val="left"/>
        <w:tblInd w:w="0" w:type="dxa"/>
        <w:tblLayout w:type="fixed"/>
        <w:tblCellMar>
          <w:top w:w="28" w:type="dxa"/>
          <w:left w:w="28" w:type="dxa"/>
          <w:bottom w:w="28" w:type="dxa"/>
          <w:right w:w="28" w:type="dxa"/>
        </w:tblCellMar>
      </w:tblPr>
      <w:tblGrid>
        <w:gridCol w:w="1064"/>
        <w:gridCol w:w="937"/>
        <w:gridCol w:w="939"/>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2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license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goods sold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32,151 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91,058 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license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cost of product and license revenue decreased by $1.7 million, or 20%, and $1.6 million, or 10% during the three and six months ended June 30, 2026, respectively, compared to the three and six months ended June 30, 2025. The decrease in the cost of product and license revenue for both the three and six months ended June 30, 2026 was driven primarily by lower hardware revenues and more favorable customer mix.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cost of services and other revenue increased by $1.8 million, or 23%, and $2.9 million, or 19% during the three and six months ended June 30, 2026, compared to the three and six months ended June 30, 2025. The increase in both periods is largely attributed to additional hosting server costs and third-party license costs driven by increased cloud subscription revenue from existing customers and, to a lesser extent, new customers, as well as amortization of intangible assets related to our acquisitions.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increased by $0.5 million, or 1%, during the three months ended June 30, 2026 compared to the three months ended June 30, 2025. Gross margin was 74% for the three months ended June 30, 2026, as compared to 73% for the three months ended June 30, 2025. Gross profit increased by $1.9 million, or 2%, during the six months ended June 30, 2026 compared to the six months ended June 30, 2025. Gross margin was 74% for both the six months ended June 30, 2026 and 2025.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majority of our inventory purchases are denominated in U.S. Dollars. Our sales are denominated in various currencies, including the Euro. The impact of changes in currency rates are estimated to have had an unfavorable impact on overall cost of goods sold of $0.1 million for three months ended June 30, 2026 and $0.6 million for the six months ended June 30, 2026. Had currency rates during the three months ended June 30, 2026 been equal to rates in the comparable period of 2025, the gross margin would have been 1 percentage point higher, driven by the favorable currency rate impact to revenue. Had currency rates during the six months ended June 30, 2026 been equal to rates in the comparable period of 2025, the gross margin would have 3 percentage points higher.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information on our gross profit by segment follows. </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 xml:space="preserve">Cybersecurity </w:t>
      </w:r>
      <w:r>
        <w:rPr>
          <w:rFonts w:ascii="Times New Roman;serif" w:hAnsi="Times New Roman;serif"/>
          <w:b w:val="false"/>
          <w:color w:val="000000"/>
          <w:sz w:val="20"/>
        </w:rPr>
        <w:t>gross profit decreased by $2.9 million, or 9%, during the three months ended June 30, 2026 compared to the three months ended June 30, 2025. Cybersecurity gross margin was 73% during the three months ended June 30, 2026, compared to 74% for the three months ended June 30, 2025. For the six months ended June 30, 2026, Cybersecurity gross profit decreased $3.1 million, or 5%, compared to the same period in 2025. Cybersecurity gross margin for the six months ended June 30, 2026 was 74%, compared to 75% for the six months ended June 30, 2025. The decrease in gross profit for both periods is primarily due to lower hardware revenues and higher third-party costs and cloud infrastructure costs, partially offset by improved hardware customer mix.</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Digital Agreements</w:t>
      </w:r>
      <w:r>
        <w:rPr>
          <w:color w:val="000000"/>
        </w:rPr>
        <w:t xml:space="preserve"> </w:t>
      </w:r>
      <w:r>
        <w:rPr>
          <w:rFonts w:ascii="Times New Roman;serif" w:hAnsi="Times New Roman;serif"/>
          <w:b w:val="false"/>
          <w:color w:val="000000"/>
          <w:sz w:val="20"/>
        </w:rPr>
        <w:t xml:space="preserve">gross profit increased $3.4 million, or 31%, during the three months ended June 30, 2026 compared to the three months ended June 30, 2025. Digital Agreements gross margin for the three months ended June 30, 2026 was 75%, compared to 71% for the three months ended June 30, 2025. For the six months ended June 30, 2026, Digital Agreements gross profit increased $5.0 million, or 23%, compared to the same period in June 30, 2025. Digital Agreements gross margin for the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was 74%, compared to 71% for the six months ended June 30, 2025. The increase in gross profit and gross margin for both periods was driven by higher subscription revenue from existing customer expansions and overage fees, as well as lower cloud infrastructure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expenses increased by $2.3 million, or 7%, during the three months ended June 30, 2026 compared to the three months ended June 30, 2025. For the three months ended June 30, 2026, changes in foreign exchange rates increased operating expenses by approximately $0.2 million as compared to the same period in 2025. Operating expenses increased by $6.1 million, or 10%, during the six months ended June 30, 2026 compared to the six months ended June 30, 2025. For the six months ended June 30, 2026, changes in foreign exchange rates increased operating expenses by approximately $1.2 million as compared to the same period in 2025.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breakout of operating expenses by category for the three and six months ended June 30, 2026 and 2025:</w:t>
      </w:r>
    </w:p>
    <w:tbl>
      <w:tblPr>
        <w:tblW w:w="8490" w:type="dxa"/>
        <w:jc w:val="left"/>
        <w:tblInd w:w="0" w:type="dxa"/>
        <w:tblLayout w:type="fixed"/>
        <w:tblCellMar>
          <w:top w:w="28" w:type="dxa"/>
          <w:left w:w="28" w:type="dxa"/>
          <w:bottom w:w="28" w:type="dxa"/>
          <w:right w:w="28" w:type="dxa"/>
        </w:tblCellMar>
      </w:tblPr>
      <w:tblGrid>
        <w:gridCol w:w="1194"/>
        <w:gridCol w:w="1052"/>
        <w:gridCol w:w="105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costs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63,370 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Sales and Marketing Expenses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for the three months ended June 30, 2026 increased by $1.6 million, or 14%, compared to the three months ended June 30, 2025. Sales and marketing expenses for the six months ended June 30, 2026 increased by $2.8 million, or 12%, compared to the six months ended June 30, 2025. The increase in expense for both periods was driven primarily by higher employee compensation costs, which included higher headcount from organic hires and from the two recent acquisitions, increases in salaries, benefits, bonus, and commissions.</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Average full-time s</w:t>
      </w:r>
      <w:r>
        <w:rPr>
          <w:rFonts w:ascii="Times New Roman;serif" w:hAnsi="Times New Roman;serif"/>
          <w:b w:val="false"/>
          <w:color w:val="000000"/>
          <w:sz w:val="20"/>
        </w:rPr>
        <w:t>ales, marketing, support, and operating employee headcount for the three and six months ended June 30, 2026 was 176 and 173,</w:t>
      </w:r>
      <w:r>
        <w:rPr>
          <w:color w:val="000000"/>
        </w:rPr>
        <w:t xml:space="preserve"> </w:t>
      </w:r>
      <w:r>
        <w:rPr>
          <w:rFonts w:ascii="Times New Roman;serif" w:hAnsi="Times New Roman;serif"/>
          <w:b w:val="false"/>
          <w:color w:val="000000"/>
          <w:sz w:val="20"/>
        </w:rPr>
        <w:t>respectively, compared to 163 and 160 for the three and six months ended June 30, 2025, respectively. Average headcount was 8% higher for both the three and six months ended June 30, 2026, respectively, compared to the same periods in 2025.</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three months ended June 30, 2026 increased by $0.5 million, or 5%, compared to the three months ended June 30, 2025, which was largely driven by higher employee compensation costs from the two recent acquisitions, offset partially by higher internal software capitalization costs. Research and development expenses for the six months ended June 30, 2026 increased by $1.6 million, or 9%, compared to the six months ended June 30, 2025. The increase for the period was primarily driven by higher employee compensation costs, largely due to higher headcount from the two recent acquisitions, and higher contractor costs, offset partially by higher internal software capitalization costs.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Average full-time research and development employee headcount for the three and six months ended June 30, 2026 was 254 and 250, respectively, compared to 228 and 225 for the three and six months ended June 30, 2025, respectively. Average headcount was 11% higher for both the three and six months ended June 30, 2026 compared to the same periods in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for the three months ended June 30, 2026 increased by $0.2 million, or 1%, compared to the three months ended June 30, 2025, which was primarily due to higher employee compensation costs, offset partially by lower consulting expenses compared to the prior year period. General and administrative expenses for the six months ended June 30, 2026 increased by $1.6 million, or 7%, compared to the six months ended June 30, 2025. The increase in expense for the period was largely driven by higher employee compensation costs and higher non-recurring acquisition-related advisor costs, offset partially by lower consulting expenses compared to the prior year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Average full-time general and administrative employee headcount for both the three and six months ended June 30, 2026 was 92, compared to 86 for both the three and six months ended June 30, 2025. Average headcount was 7% higher for both the three and six months ended June 30, 2026 compared to the same periods in 2025.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Amortization of Intangible Assets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assets expense for the three months ended June 30, 2026 increased by less than $0.1 million, or 13%, compared to the three months ended June 30, 2025. Amortization of intangible assets expense for the six months ended June 30, 2026 increased by $0.2 million, or 19%, compared to the six months ended June 30, 2025. The increase in amortization expense for both periods was driven by an increase in acquired intangible assets due to the two recent acquisitions.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Segment Operating Income (Loss)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on our operating income (loss) by segment follows.</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Cybersecurity</w:t>
      </w:r>
      <w:r>
        <w:rPr>
          <w:color w:val="000000"/>
        </w:rPr>
        <w:t xml:space="preserve"> </w:t>
      </w:r>
      <w:r>
        <w:rPr>
          <w:rFonts w:ascii="Times New Roman;serif" w:hAnsi="Times New Roman;serif"/>
          <w:b w:val="false"/>
          <w:color w:val="000000"/>
          <w:sz w:val="20"/>
        </w:rPr>
        <w:t xml:space="preserve">operating income for the three months ended June 30, 2026 was $13.8 million, which was a year-over-year decrease of $6.0 million, or 30%, from the three months ended June 30, 2025. Operating income for the six months ended June 30, 2026 was $34.6 million, which was a year-over-year decrease of $9.4 million, or 21%, from the six months ended June 30, 2025. The decrease for both periods was largely due to lower revenue and higher operating expenses as a result of organic investments and incremental headcount from the recent acquisitions, respectively. </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Digital Agreements</w:t>
      </w:r>
      <w:r>
        <w:rPr>
          <w:color w:val="000000"/>
        </w:rPr>
        <w:t xml:space="preserve"> </w:t>
      </w:r>
      <w:r>
        <w:rPr>
          <w:rFonts w:ascii="Times New Roman;serif" w:hAnsi="Times New Roman;serif"/>
          <w:b w:val="false"/>
          <w:color w:val="000000"/>
          <w:sz w:val="20"/>
        </w:rPr>
        <w:t xml:space="preserve">operating income for the three and six months ended June 30, 2026 was $7.0 million and $12.3 million, respectively, compared to operating income of $2.9 million and $6.2 million, for the three and six months ended June 30, 2025, respectively. The increase for both periods ended June 30, 2026 is largely due to higher revenue, including overages fees, and lower research and development expenses, and sales and marketing expenses compared to the prior year periods.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(expense) income, net</w:t>
      </w:r>
    </w:p>
    <w:tbl>
      <w:tblPr>
        <w:tblW w:w="7294" w:type="dxa"/>
        <w:jc w:val="left"/>
        <w:tblInd w:w="0" w:type="dxa"/>
        <w:tblLayout w:type="fixed"/>
        <w:tblCellMar>
          <w:top w:w="28" w:type="dxa"/>
          <w:left w:w="28" w:type="dxa"/>
          <w:bottom w:w="28" w:type="dxa"/>
          <w:right w:w="28" w:type="dxa"/>
        </w:tblCellMar>
      </w:tblPr>
      <w:tblGrid>
        <w:gridCol w:w="918"/>
        <w:gridCol w:w="807"/>
        <w:gridCol w:w="809"/>
        <w:gridCol w:w="242"/>
        <w:gridCol w:w="621"/>
        <w:gridCol w:w="125"/>
        <w:gridCol w:w="125"/>
        <w:gridCol w:w="125"/>
        <w:gridCol w:w="125"/>
        <w:gridCol w:w="242"/>
        <w:gridCol w:w="534"/>
        <w:gridCol w:w="125"/>
        <w:gridCol w:w="109"/>
        <w:gridCol w:w="109"/>
        <w:gridCol w:w="109"/>
        <w:gridCol w:w="211"/>
        <w:gridCol w:w="541"/>
        <w:gridCol w:w="109"/>
        <w:gridCol w:w="109"/>
        <w:gridCol w:w="109"/>
        <w:gridCol w:w="109"/>
        <w:gridCol w:w="211"/>
        <w:gridCol w:w="61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income, net, was $(0.2) million and $0.7 million for the three months ended June 30, 2026 and 2025, respectively. Interest (expense) income, net, was $(0.2) million and $1.4 million for the six months ended June 30, 2026 and 2025, respectively. The decrease for both periods relates to higher average excess cash invested in the prior year period compared to the current year period, as well as interest expense incurred in the current year related to the Credit Agreement. The decrease in invested cash is largely the result of the Company using cash to fund the acquisitions. </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tbl>
      <w:tblPr>
        <w:tblW w:w="7087" w:type="dxa"/>
        <w:jc w:val="left"/>
        <w:tblInd w:w="0" w:type="dxa"/>
        <w:tblLayout w:type="fixed"/>
        <w:tblCellMar>
          <w:top w:w="28" w:type="dxa"/>
          <w:left w:w="28" w:type="dxa"/>
          <w:bottom w:w="28" w:type="dxa"/>
          <w:right w:w="28" w:type="dxa"/>
        </w:tblCellMar>
      </w:tblPr>
      <w:tblGrid>
        <w:gridCol w:w="863"/>
        <w:gridCol w:w="760"/>
        <w:gridCol w:w="762"/>
        <w:gridCol w:w="255"/>
        <w:gridCol w:w="437"/>
        <w:gridCol w:w="132"/>
        <w:gridCol w:w="132"/>
        <w:gridCol w:w="132"/>
        <w:gridCol w:w="132"/>
        <w:gridCol w:w="255"/>
        <w:gridCol w:w="655"/>
        <w:gridCol w:w="132"/>
        <w:gridCol w:w="109"/>
        <w:gridCol w:w="109"/>
        <w:gridCol w:w="109"/>
        <w:gridCol w:w="213"/>
        <w:gridCol w:w="546"/>
        <w:gridCol w:w="110"/>
        <w:gridCol w:w="110"/>
        <w:gridCol w:w="110"/>
        <w:gridCol w:w="110"/>
        <w:gridCol w:w="213"/>
        <w:gridCol w:w="546"/>
        <w:gridCol w:w="155"/>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income (expense), net, primarily includes subsidies received from foreign governments in support of our research and development in those countries, exchange gains (losses) on transactions that are denominated in currencies other than our subsidiaries’ functional currencies, and other miscellaneous non-operational, non-recurring expenses.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income (expense), net, for the three months ended June 30, 2026 and 2025 was income of less than $0.1 million and expense of $0.7 million, respectively. Other income (expense), net, for the six months ended June 30, 2026 and 2025 was expense of $0.3 million and $0.7 million, respectively. The year-over-year change for both periods was largely driven by lower foreign exchange transaction losses in 2026 compared to 2025, due to the U.S. Dollar weakening against the Euro, as well as decreased subsidies received from foreign governments.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7112" w:type="dxa"/>
        <w:jc w:val="left"/>
        <w:tblInd w:w="0" w:type="dxa"/>
        <w:tblLayout w:type="fixed"/>
        <w:tblCellMar>
          <w:top w:w="28" w:type="dxa"/>
          <w:left w:w="28" w:type="dxa"/>
          <w:bottom w:w="28" w:type="dxa"/>
          <w:right w:w="28" w:type="dxa"/>
        </w:tblCellMar>
      </w:tblPr>
      <w:tblGrid>
        <w:gridCol w:w="825"/>
        <w:gridCol w:w="726"/>
        <w:gridCol w:w="728"/>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recorded income tax expense of $1.9 million and $2.2 million for the three months ended June 30, 2026 and 2025, respectively, $4.7 million and $5.6 million for the six months ended June 30, 2026 and 2025, respectively. Lower income tax expense for both three months and six months ended June 30, 2026 was primarily attributable to lower pre-tax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we had cash and cash equivalent balances of $43.3 million. Our cash and cash equivalents balance includes money market funds.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December 31, 2025, we had cash and cash equivalent balances of $70.5 million.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we held $25.6 million of cash and cash equivalents in subsidiaries outside of the United States. Of that amount, $24.4 million is not subject to repatriation restrictions, but may be subject to taxes upon repatriation.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$5.0 million of borrowings outstanding under our $100.0 million revolving credit facility entered into on June 23, 2025. The borrowing will be used for general corporate purposes and reflects our ability to access liquidity under the Credit Agreement, as needed, to support our operating and capital requirements. As of June 30, 2026, we had $0.4 million letters of credit outstanding. Subject to the terms of the Credit Agreement, we may borrow, repay, and reborrow amounts under the revolving credit facility until its maturity on June 23, 2030, and may prepay revolving loans without penalty or premium, subject to notice and customary breakage costs. Borrowings under the Credit Agreement bear interest at variable rates based on our election and consolidated net leverage ratio, and we are also required to pay a commitment fee on the unused portion of the facility. We believe that the revolving credit facility, including the remaining availability thereunder, provides us with additional financial flexibility to fund general corporate purposes and support our liquidity needs.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our financial resources are adequate to meet our operating needs over the next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cash flows are as follows:</w:t>
      </w:r>
    </w:p>
    <w:tbl>
      <w:tblPr>
        <w:tblW w:w="8347" w:type="dxa"/>
        <w:jc w:val="left"/>
        <w:tblInd w:w="0" w:type="dxa"/>
        <w:tblLayout w:type="fixed"/>
        <w:tblCellMar>
          <w:top w:w="28" w:type="dxa"/>
          <w:left w:w="28" w:type="dxa"/>
          <w:bottom w:w="28" w:type="dxa"/>
          <w:right w:w="28" w:type="dxa"/>
        </w:tblCellMar>
      </w:tblPr>
      <w:tblGrid>
        <w:gridCol w:w="2069"/>
        <w:gridCol w:w="1820"/>
        <w:gridCol w:w="1825"/>
        <w:gridCol w:w="211"/>
        <w:gridCol w:w="721"/>
        <w:gridCol w:w="109"/>
        <w:gridCol w:w="109"/>
        <w:gridCol w:w="109"/>
        <w:gridCol w:w="109"/>
        <w:gridCol w:w="211"/>
        <w:gridCol w:w="721"/>
        <w:gridCol w:w="333"/>
      </w:tblGrid>
      <w:tr>
        <w:trPr/>
        <w:tc>
          <w:tcPr>
            <w:tcW w:w="2069"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02"/>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35,583 </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firstLine="202"/>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(15,540)</w:t>
            </w:r>
          </w:p>
        </w:tc>
        <w:tc>
          <w:tcPr>
            <w:tcW w:w="333" w:type="dxa"/>
            <w:tcBorders/>
            <w:shd w:fill="CCEEFF" w:val="clear"/>
            <w:tcMar>
              <w:top w:w="0" w:type="dxa"/>
              <w:left w:w="0" w:type="dxa"/>
              <w:bottom w:w="0" w:type="dxa"/>
              <w:right w:w="0" w:type="dxa"/>
            </w:tcMar>
            <w:vAlign w:val="center"/>
          </w:tcPr>
          <w:p>
            <w:pPr>
              <w:pStyle w:val="TableContents"/>
              <w:bidi w:val="0"/>
              <w:spacing w:before="0" w:after="283"/>
              <w:ind w:left="0" w:right="0" w:firstLine="202"/>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(12,167)</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cash flows from operating activities primarily consists of net income, as adjusted for non-cash items, and changes in operating assets and liabilities. Non-cash adjustments consist primarily of allowance for credit losses, amortization of intangible assets, deferred taxes, depreciation of property and equipment, and stock-based compensation. We expect cash inflows from operating activities to be affected by increases or decreases in sales and timing of collections. Our primary uses of cash from operating activities have been for personnel and vendor costs. We expect cash outflows from operating activities to be affected by changes in personnel costs and the timing of payment of expenditures.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$28.1 million of cash was provided by operating activities. This was largely driven by the net income from the period excluding depreciation and amortization, collections of accounts receivable and contract assets. This was partially offset by an increase of payments for accrued expenses. For the six months ended June 30, 2025, $35.6 million of cash was provided by operating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working capital at June 30, 2026 was $31.4 million compared to $57.6 million at December 31, 2025. This decrease was driven by less cash on hand and less outstanding receivables from customers. This was partially offset by a decrease in deferred revenue and short-term taxes payable.</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cash flows from investing activities primarily relate to purchases of property and equipment, capitalized software activities, and activity in connection with acquisitions. We expect to continue to purchase property and equipment to support the growth of our business as well as to continue to invest in our infrastructure and activity in connection with potential acquisitions.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used in investing activities was $41.0 million, compared to net cash used in investing activities of $15.5 million for the six months ended June 30, 2025. The increase in cash used was largely due to the acquisition of Build38 and higher software capitalization costs included in property and equipment.</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cash flows from financing activities primarily relate to dividends paid, payment of debt issuance costs, purchases of common stock under our share repurchase program (when applicable) and tax payments for restricted stock issuances.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net cash used in financing activities was $14.4 million and was primarily related to dividends paid, repurchases of shares, and tax payments for stock issuances. The cash used was partially offset by the draw of $5.0 million on the credit facility. Cash of $12.2 million used in financing activities during the six months ended June 30, 2025 was attributable to dividends paid and tax payments for stock issuances.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Business Metrics and Non-GAAP Financial Measures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our quarterly earnings press releases and conference calls, we discuss the below key metrics and financial measures that are not calculated according to generally accepted accounting principles (“GAAP”). These metrics and non-GAAP financial measures help us monitor and evaluate the effectiveness of our operations and evaluate period-to-period comparisons. Management believes that these metrics and non-GAAP financial measures help illustrate underlying trends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our business. We use these metrics and non-GAAP financial measures to establish budgets and operational goals (communicated internally and externally), manage our business and evaluate our performance. We also believe that both management and investors benefit from referring to these metrics and non-GAAP financial measures as supplemental information in assessing our performance and when planning, forecasting, and analyzing future periods. We believe these metrics and non-GAAP financial measures are useful to investors both because they allow for greater transparency with respect to financial measures used by management in their financial and operational decision-making and also because they are used by investors and the analyst community to help evaluate the health of our business.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Annual Recurring Revenue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annual recurring revenue, or ARR, as an approximate measure to monitor the growth of our recurring business. ARR represents the annualized value of the active portion of SaaS, term-based license, and maintenance and support contracts at the end of the reporting period. ARR is calculated as the approximate annualized value of our customer recurring contracts as of the measurement date. These include subscription, term-based license, and maintenance and support contracts and exclude one-time fees. For term-based license arrangements, the amount included in ARR is consistent with the amount that we invoice the customer annually for the term-based license transaction. A customer with a one-year term-based license contract will be invoiced for the total value of the contract at the beginning of the contractual term, while a customer with a multi-year term-based license contract will be invoiced for each annual period at the beginning of each year of the contract. For contracts that include annual values that increase over time because there are additional deliverables in subsequent periods, we include in ARR only the annualized value of components of the contract that are considered active as of the date of the ARR calculation. We do not include the future committed increases in the contract value as of the date of the ARR calculation.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consider a contract to be active from when the product or service contractual term commences (the “start date”) until the right to use the product or service ends (the “expiration date”). Even if the contract with the customer is executed before the start date, the contract will not count toward ARR until the customer right to receive the benefit of the products or services has commenced.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that we are negotiating a renewal with a customer within 90 days after the expiration of a recurring contract, we continue to include that revenue in ARR if we are actively in discussions with the customer for a new recurring contract or renewal and the customer has not notified us of an intention not to renew. We exclude from the calculation of ARR renewal contracts that are more than 90 days after their expiration date, even if we are continuing to negotiate a renewal at that time.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ARR is not calculated based on recognized or unearned revenue and there is no direct relationship between revenue recognized in accordance with ASC 606 and the Company’s ARR business metric. We believe ARR is a valuable operating measure to assess the health of our SaaS, term-based license, and maintenance and support contracts because it illustrates our customer recurring contracts as of the measurement date. ARR is not a forecast of future revenue, which can be impacted by contract start and end dates and renewal rates, and does not include revenue from perpetual licenses, purchases of Digipass authenticators, training, professional services or other sources of revenue that are not deemed to be recurring in nature.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ARR does not have any standardized meaning and is therefore unlikely to be comparable to similarly titled measures presented by other companies. ARR should be viewed independently of revenue and deferred revenue as ARR is an operating metric and is not intended to be combined with or replace these items. Investors should consider our ARR operating measure only in conjunction with our GAAP financial results.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we reported ARR of $189.7 million, which was 7% higher than ARR of $177.8 million at June 30, 2025. ARR primarily consists of the annualized value of the active portions of term-based license and SaaS contracts, and to a lesser extent, maintenance contracts. Changes in foreign exchange rates as compared to the prior year positively impacted ARR by approximately $1.4 million.</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Net Retention Rate </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Retention Rate, or NRR, is defined as the approximate year-over-year percentage growth in ARR from the same set of customers at the end of the prior year period. It measures our ability to increase revenue across our existing customer base through expanded use of our platform, offset by customers whose subscription contracts with us are not renewed or renew at a lower amount. Our ability to drive growth and generate incremental revenue depends, in part,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ability to maintain and grow our relationships with customers. NRR is an important way in which we track our performance in this area.</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reported NRR of 103% at June 30, 2026 as compared to 101% at June 30, 2025. The year-over-year increase in NRR was driven primarily by an increase in contracts that expanded in value.</w:t>
      </w:r>
    </w:p>
    <w:p>
      <w:pPr>
        <w:pStyle w:val="TextBody"/>
        <w:bidi w:val="0"/>
        <w:spacing w:lineRule="auto" w:line="288" w:before="24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Adjusted EBITDA as net income before interest, taxes, depreciation, amortization, long-term incentive compensation and related payroll tax expense, restructuring and other related charges, and certain non-recurring items, including acquisition related costs, rebranding costs, and non-routine shareholder matters. Adjusted EBITDA is a non-GAAP financial metric. We use Adjusted EBITDA as a simplified measure of performance for use in communicating our performance to investors and analysts and for comparisons to other companies within our industry. As a performance measure, we believe that Adjusted EBITDA presents a view of our operating results that is most closely related to serving our customers. By excluding interest, taxes, depreciation, amortization, long-term incentive compensation and related payroll tax expense, restructuring costs, and certain other non-recurring items, we are able to evaluate performance without considering decisions that, in most cases, are not directly related to meeting our customers’ requirements and were either made in prior periods (e.g., depreciation, amortization, long-term incentive compensation and related payroll tax expense, non-routine shareholder matters), deal with the structure or financing of the business (e.g., interest, one-time strategic action costs, restructuring costs, impairment charges) or reflect the application of regulations that are outside of the control of our management team (e.g., taxes). In addition, removing the impact of these items helps us compare our core business performance with that of our competitors.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as reported on our condensed consolidated statements of operations to Adjusted EBITDA:</w:t>
      </w:r>
    </w:p>
    <w:tbl>
      <w:tblPr>
        <w:tblW w:w="10205" w:type="dxa"/>
        <w:jc w:val="left"/>
        <w:tblInd w:w="0" w:type="dxa"/>
        <w:tblLayout w:type="fixed"/>
        <w:tblCellMar>
          <w:top w:w="28" w:type="dxa"/>
          <w:left w:w="28" w:type="dxa"/>
          <w:bottom w:w="28" w:type="dxa"/>
          <w:right w:w="28" w:type="dxa"/>
        </w:tblCellMar>
      </w:tblPr>
      <w:tblGrid>
        <w:gridCol w:w="1850"/>
        <w:gridCol w:w="1580"/>
        <w:gridCol w:w="158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5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intangible assets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compensation and related payroll tax expense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charges (3)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 items (4)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40,673 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 Includes cost of sales depreciation and amortization expense directly related to delivering cloud subscription revenue of $2.2 million and $4.1 million for the three and six months ended June 30, 2026, respectively, and $1.3 million and $2.3 million for the three and six months ended June 30, 2025, respectively. Costs are recorded in "Services and other cost of goods sold" on the condensed consolidated statements of operations. </w:t>
      </w:r>
    </w:p>
    <w:p>
      <w:pPr>
        <w:pStyle w:val="TextBody"/>
        <w:bidi w:val="0"/>
        <w:spacing w:lineRule="auto" w:line="276"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 Long-term incentive compensation and related payroll tax expense includes stock-based compensation and related payroll tax expense, and cash incentive grants awarded to employees located in jurisdictions where we do not issue stock-based compensation due to tax, regulatory or similar reasons. The immaterial expense associated with these cash incentive grants was less than $0.1 million for the three and six months ended June 30, 2026 and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76"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Costs are recorded in "Services and other cost of goods sold" and "Restructuring and other related charges," respectively, on the condensed consolidated statements of operations.</w:t>
      </w:r>
    </w:p>
    <w:p>
      <w:pPr>
        <w:pStyle w:val="TextBody"/>
        <w:bidi w:val="0"/>
        <w:spacing w:lineRule="auto" w:line="276" w:before="0" w:after="240"/>
        <w:jc w:val="both"/>
        <w:rPr/>
      </w:pPr>
      <w:r>
        <w:rPr>
          <w:rFonts w:ascii="Times New Roman;serif" w:hAnsi="Times New Roman;serif"/>
          <w:b w:val="false"/>
          <w:color w:val="000000"/>
          <w:sz w:val="20"/>
        </w:rPr>
        <w:t>Includes restructuring and other related charges of less than $0.1 million and $0.1 million</w:t>
      </w:r>
      <w:r>
        <w:rPr>
          <w:color w:val="000000"/>
        </w:rPr>
        <w:t xml:space="preserve"> </w:t>
      </w:r>
      <w:r>
        <w:rPr>
          <w:rFonts w:ascii="Times New Roman;serif" w:hAnsi="Times New Roman;serif"/>
          <w:b w:val="false"/>
          <w:color w:val="000000"/>
          <w:sz w:val="20"/>
        </w:rPr>
        <w:t>for the three and six months ended June 30, 2025, respectively. These charges are recorded in "Services and other cost of goods sold" on the condensed consolidated statements of operations.</w:t>
      </w:r>
    </w:p>
    <w:p>
      <w:pPr>
        <w:pStyle w:val="TextBody"/>
        <w:bidi w:val="0"/>
        <w:spacing w:lineRule="auto" w:line="27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 For the three months ended June 30, 2026 and 2025, other non-recurring items consist of $1.1 million and $1.6 million, respectively, of fees related to non-recurring acquisition projects. </w:t>
      </w:r>
    </w:p>
    <w:p>
      <w:pPr>
        <w:pStyle w:val="TextBody"/>
        <w:bidi w:val="0"/>
        <w:spacing w:before="0" w:after="0"/>
        <w:ind w:left="0" w:right="0" w:hanging="36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and 2025, other non-recurring items consist of $2.5 million and $1.6 million, respectively, of fees related to non-recurring acquisition projects. </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for the three months ended June 30, 2026 was $16.9 million compared to $17.6 million for the three months ended June 30, 2025. Adjusted EBITDA for the six months ended June 30, 2026 was $37.9 million compared to $40.7 million for the six months ended June 30, 2025. The decrease for both periods was largely driven by lower net income both quarter to date and year to date, largely due to internal investments and incremental costs year over year form the two recent acquisitions. Year-over-year changes in foreign exchange rates favorably impacted Adjusted EBITDA by approximately $0.2 million for the three months ended June 30, 2026 and favorably impacted Adjusted EBITDA by approximately $1.7 million for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Our accounting policies are fully described in Note 1,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xml:space="preserve">, to our Consolidated Financial Statements in our Form 10-K for the year ended December 31, 2025 and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 xml:space="preserve">of our interim Condensed Consolidated Financial Statements in this Quarterly Report on Form 10-Q for the three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 Quantitative and Qualitative Disclosures about Market Risk</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There have been no material changes in our market risk during the three months ended June 30, 2026. For additional information, refer to Part II, Item 7A, </w:t>
      </w:r>
      <w:r>
        <w:rPr>
          <w:rFonts w:ascii="Times New Roman;serif" w:hAnsi="Times New Roman;serif"/>
          <w:b w:val="false"/>
          <w:i/>
          <w:color w:val="000000"/>
          <w:sz w:val="20"/>
        </w:rPr>
        <w:t>Quantitative and Qualitative Disclosures about Market Risk</w:t>
      </w:r>
      <w:r>
        <w:rPr>
          <w:rFonts w:ascii="Times New Roman;serif" w:hAnsi="Times New Roman;serif"/>
          <w:b w:val="false"/>
          <w:color w:val="000000"/>
          <w:sz w:val="20"/>
        </w:rPr>
        <w:t>, included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Management’s Evaluation of Disclosure Controls and Procedures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June 30, 2026. Based on this evaluation, our Chief Executive Officer and Chief Financial Officer have concluded that, as of June 30, 2026,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in the Company’s internal control over financial reporting that materially affected, or are reasonably likely to materially affect, our internal control over financial reporting during the three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 Legal Proceedings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certain legal proceedings and claims incidental to the operation of our business. We are also subject to certain other legal proceedings and claims that have arisen in the ordinary course of business that have not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fully adjudicated. We currently do not anticipate that these matters, if resolved against us, will have a material adverse impact on our financial results.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For further information regarding our legal proceedings and claims, see Note 17,</w:t>
      </w:r>
      <w:r>
        <w:rPr>
          <w:color w:val="000000"/>
        </w:rPr>
        <w:t xml:space="preserve"> </w:t>
      </w:r>
      <w:r>
        <w:rPr>
          <w:rFonts w:ascii="Times New Roman;serif" w:hAnsi="Times New Roman;serif"/>
          <w:b w:val="false"/>
          <w:i/>
          <w:color w:val="000000"/>
          <w:sz w:val="20"/>
        </w:rPr>
        <w:t>Legal Proceedings and Contingencies</w:t>
      </w:r>
      <w:r>
        <w:rPr>
          <w:rFonts w:ascii="Times New Roman;serif" w:hAnsi="Times New Roman;serif"/>
          <w:b w:val="false"/>
          <w:color w:val="000000"/>
          <w:sz w:val="20"/>
        </w:rPr>
        <w:t xml:space="preserve">, included in Part I, Item 1, </w:t>
      </w:r>
      <w:r>
        <w:rPr>
          <w:rFonts w:ascii="Times New Roman;serif" w:hAnsi="Times New Roman;serif"/>
          <w:b w:val="false"/>
          <w:i/>
          <w:color w:val="000000"/>
          <w:sz w:val="20"/>
        </w:rPr>
        <w:t>Condensed Consolidated Financial Statements</w:t>
      </w:r>
      <w:r>
        <w:rPr>
          <w:rFonts w:ascii="Times New Roman;serif" w:hAnsi="Times New Roman;serif"/>
          <w:b w:val="false"/>
          <w:color w:val="000000"/>
          <w:sz w:val="20"/>
        </w:rPr>
        <w:t>,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 Risk Factors</w:t>
      </w:r>
    </w:p>
    <w:p>
      <w:pPr>
        <w:pStyle w:val="TextBody"/>
        <w:bidi w:val="0"/>
        <w:spacing w:lineRule="auto" w:line="26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in or additions to the risk factors disclosed in Part I, Item 1A of our Annual Report on Form 10-K for the year ended December 31, 2025, filed with the SEC on February 26,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 Unregistered Sales of Equity Securities, Use of Proceeds, and Issuer Purchases of Equity Securities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about purchases by the Company of its shares of common stock during the second quarter of 2026: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456"/>
        <w:gridCol w:w="401"/>
        <w:gridCol w:w="408"/>
        <w:gridCol w:w="109"/>
        <w:gridCol w:w="109"/>
        <w:gridCol w:w="109"/>
        <w:gridCol w:w="630"/>
        <w:gridCol w:w="429"/>
        <w:gridCol w:w="430"/>
        <w:gridCol w:w="109"/>
        <w:gridCol w:w="109"/>
        <w:gridCol w:w="109"/>
        <w:gridCol w:w="274"/>
        <w:gridCol w:w="801"/>
        <w:gridCol w:w="141"/>
        <w:gridCol w:w="109"/>
        <w:gridCol w:w="109"/>
        <w:gridCol w:w="109"/>
        <w:gridCol w:w="874"/>
        <w:gridCol w:w="703"/>
        <w:gridCol w:w="706"/>
        <w:gridCol w:w="109"/>
        <w:gridCol w:w="109"/>
        <w:gridCol w:w="109"/>
        <w:gridCol w:w="384"/>
        <w:gridCol w:w="1971"/>
        <w:gridCol w:w="289"/>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2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 Shares 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Maximum Dollar Value of Shares that May Yet Be Purchased Under the Plans or Programs (1)</w:t>
            </w:r>
          </w:p>
        </w:tc>
      </w:tr>
      <w:tr>
        <w:trPr/>
        <w:tc>
          <w:tcPr>
            <w:tcW w:w="12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through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31,535,872 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through 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231,154 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231,154 </w:t>
            </w:r>
          </w:p>
        </w:tc>
        <w:tc>
          <w:tcPr>
            <w:tcW w:w="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47,108,263 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through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47,108,263 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On May 7, 2026, the Board of Directors terminated the stock repurchase program adopted on May 9, 2024 and adopted a new stock repurchase program under which the Company is authorized to repurchase up to $50.0 million of our issued and outstanding shares of common stock. Share purchases under the program will take place in open market transactions, privately negotiated transactions or tender offers, and may be made from time to time depending on market conditions, share price, trading volume, and other factors. The timing of the repurchases and the amount of stock repurchased in each transaction is subject to our sole discretion and will depend upon market and business conditions, applicable legal and credit requirements, and other corporate considerations. The authorization is effective until May 7, 2028 unless the total amount has been used or authorization has been cancelled.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 Exhibits</w:t>
      </w:r>
    </w:p>
    <w:tbl>
      <w:tblPr>
        <w:tblW w:w="10205" w:type="dxa"/>
        <w:jc w:val="left"/>
        <w:tblInd w:w="0" w:type="dxa"/>
        <w:tblLayout w:type="fixed"/>
        <w:tblCellMar>
          <w:top w:w="28" w:type="dxa"/>
          <w:left w:w="28" w:type="dxa"/>
          <w:bottom w:w="28" w:type="dxa"/>
          <w:right w:w="28" w:type="dxa"/>
        </w:tblCellMar>
      </w:tblPr>
      <w:tblGrid>
        <w:gridCol w:w="3398"/>
        <w:gridCol w:w="2813"/>
        <w:gridCol w:w="3994"/>
      </w:tblGrid>
      <w:tr>
        <w:trPr/>
        <w:tc>
          <w:tcPr>
            <w:tcW w:w="3398"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399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mipplandocument.htm">
              <w:r>
                <w:rPr>
                  <w:rStyle w:val="InternetLink"/>
                  <w:rFonts w:ascii="Times New Roman;serif" w:hAnsi="Times New Roman;serif"/>
                  <w:b w:val="false"/>
                  <w:color w:val="0000FF"/>
                  <w:sz w:val="20"/>
                  <w:u w:val="single"/>
                </w:rPr>
                <w:t>Exhibit 10.1 - 2026 Management Incentive Plan*</w:t>
              </w:r>
            </w:hyperlink>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80"/>
                  <w:sz w:val="20"/>
                  <w:u w:val="single"/>
                </w:rPr>
                <w:t>Ex</w:t>
              </w:r>
            </w:hyperlink>
            <w:hyperlink r:id="rId3">
              <w:r>
                <w:rPr>
                  <w:rStyle w:val="InternetLink"/>
                  <w:rFonts w:ascii="Times New Roman;serif" w:hAnsi="Times New Roman;serif"/>
                  <w:b w:val="false"/>
                  <w:color w:val="000080"/>
                  <w:sz w:val="20"/>
                  <w:u w:val="single"/>
                </w:rPr>
                <w:t xml:space="preserve">hibit 10.2 - </w:t>
              </w:r>
            </w:hyperlink>
            <w:hyperlink r:id="rId4">
              <w:r>
                <w:rPr>
                  <w:rStyle w:val="InternetLink"/>
                  <w:rFonts w:ascii="Times New Roman;serif" w:hAnsi="Times New Roman;serif"/>
                  <w:b w:val="false"/>
                  <w:color w:val="000080"/>
                  <w:sz w:val="20"/>
                  <w:u w:val="single"/>
                </w:rPr>
                <w:t>A</w:t>
              </w:r>
            </w:hyperlink>
            <w:hyperlink r:id="rId5">
              <w:r>
                <w:rPr>
                  <w:rStyle w:val="InternetLink"/>
                  <w:rFonts w:ascii="Times New Roman;serif" w:hAnsi="Times New Roman;serif"/>
                  <w:b w:val="false"/>
                  <w:color w:val="000080"/>
                  <w:sz w:val="20"/>
                  <w:u w:val="single"/>
                </w:rPr>
                <w:t xml:space="preserve">mended and Restated </w:t>
              </w:r>
            </w:hyperlink>
            <w:hyperlink r:id="rId6">
              <w:r>
                <w:rPr>
                  <w:rStyle w:val="InternetLink"/>
                  <w:rFonts w:ascii="Times New Roman;serif" w:hAnsi="Times New Roman;serif"/>
                  <w:b w:val="false"/>
                  <w:color w:val="000080"/>
                  <w:sz w:val="20"/>
                  <w:u w:val="single"/>
                </w:rPr>
                <w:t>2019 Omn</w:t>
              </w:r>
            </w:hyperlink>
            <w:hyperlink r:id="rId7">
              <w:r>
                <w:rPr>
                  <w:rStyle w:val="InternetLink"/>
                  <w:rFonts w:ascii="Times New Roman;serif" w:hAnsi="Times New Roman;serif"/>
                  <w:b w:val="false"/>
                  <w:color w:val="000080"/>
                  <w:sz w:val="20"/>
                  <w:u w:val="single"/>
                </w:rPr>
                <w:t>ib</w:t>
              </w:r>
            </w:hyperlink>
            <w:hyperlink r:id="rId8">
              <w:r>
                <w:rPr>
                  <w:rStyle w:val="InternetLink"/>
                  <w:rFonts w:ascii="Times New Roman;serif" w:hAnsi="Times New Roman;serif"/>
                  <w:b w:val="false"/>
                  <w:color w:val="000080"/>
                  <w:sz w:val="20"/>
                  <w:u w:val="single"/>
                </w:rPr>
                <w:t>us Incentive Plan, as am</w:t>
              </w:r>
            </w:hyperlink>
            <w:hyperlink r:id="rId9">
              <w:r>
                <w:rPr>
                  <w:rStyle w:val="InternetLink"/>
                  <w:rFonts w:ascii="Times New Roman;serif" w:hAnsi="Times New Roman;serif"/>
                  <w:b w:val="false"/>
                  <w:color w:val="000080"/>
                  <w:sz w:val="20"/>
                  <w:u w:val="single"/>
                </w:rPr>
                <w:t>ended</w:t>
              </w:r>
            </w:hyperlink>
            <w:hyperlink r:id="rId10">
              <w:r>
                <w:rPr>
                  <w:rStyle w:val="InternetLink"/>
                  <w:rFonts w:ascii="Times New Roman;serif" w:hAnsi="Times New Roman;serif"/>
                  <w:b w:val="false"/>
                  <w:color w:val="000080"/>
                  <w:sz w:val="20"/>
                  <w:u w:val="single"/>
                </w:rPr>
                <w:t xml:space="preserve"> (</w:t>
              </w:r>
            </w:hyperlink>
            <w:hyperlink r:id="rId11">
              <w:r>
                <w:rPr>
                  <w:rStyle w:val="InternetLink"/>
                  <w:rFonts w:ascii="Times New Roman;serif" w:hAnsi="Times New Roman;serif"/>
                  <w:b w:val="false"/>
                  <w:color w:val="000080"/>
                  <w:sz w:val="20"/>
                  <w:u w:val="single"/>
                </w:rPr>
                <w:t xml:space="preserve">Incorporated by Reference to Exhibit 10.1 to the Registrant’s Form 8-K filed </w:t>
              </w:r>
            </w:hyperlink>
            <w:hyperlink r:id="rId12">
              <w:r>
                <w:rPr>
                  <w:rStyle w:val="InternetLink"/>
                  <w:rFonts w:ascii="Times New Roman;serif" w:hAnsi="Times New Roman;serif"/>
                  <w:b w:val="false"/>
                  <w:color w:val="000080"/>
                  <w:sz w:val="20"/>
                  <w:u w:val="single"/>
                </w:rPr>
                <w:t>June 5</w:t>
              </w:r>
            </w:hyperlink>
            <w:hyperlink r:id="rId13">
              <w:r>
                <w:rPr>
                  <w:rStyle w:val="InternetLink"/>
                  <w:rFonts w:ascii="Times New Roman;serif" w:hAnsi="Times New Roman;serif"/>
                  <w:b w:val="false"/>
                  <w:color w:val="000080"/>
                  <w:sz w:val="20"/>
                  <w:u w:val="single"/>
                </w:rPr>
                <w:t>, 202</w:t>
              </w:r>
            </w:hyperlink>
            <w:hyperlink r:id="rId14">
              <w:r>
                <w:rPr>
                  <w:rStyle w:val="InternetLink"/>
                  <w:rFonts w:ascii="Times New Roman;serif" w:hAnsi="Times New Roman;serif"/>
                  <w:b w:val="false"/>
                  <w:color w:val="000080"/>
                  <w:sz w:val="20"/>
                  <w:u w:val="single"/>
                </w:rPr>
                <w:t>6</w:t>
              </w:r>
            </w:hyperlink>
            <w:hyperlink r:id="rId15">
              <w:r>
                <w:rPr>
                  <w:rStyle w:val="InternetLink"/>
                  <w:rFonts w:ascii="Times New Roman;serif" w:hAnsi="Times New Roman;serif"/>
                  <w:b w:val="false"/>
                  <w:color w:val="000080"/>
                  <w:sz w:val="20"/>
                  <w:u w:val="single"/>
                </w:rPr>
                <w:t>)</w:t>
              </w:r>
            </w:hyperlink>
            <w:hyperlink r:id="rId16">
              <w:r>
                <w:rPr>
                  <w:rStyle w:val="InternetLink"/>
                  <w:rFonts w:ascii="Times New Roman;serif" w:hAnsi="Times New Roman;serif"/>
                  <w:b w:val="false"/>
                  <w:color w:val="000080"/>
                  <w:sz w:val="20"/>
                  <w:u w:val="single"/>
                </w:rPr>
                <w:t>*</w:t>
              </w:r>
            </w:hyperlink>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ecutivetime-basedrsuagre.htm">
              <w:r>
                <w:rPr>
                  <w:rStyle w:val="InternetLink"/>
                  <w:rFonts w:ascii="Times New Roman;serif" w:hAnsi="Times New Roman;serif"/>
                  <w:b w:val="false"/>
                  <w:color w:val="0000FF"/>
                  <w:sz w:val="20"/>
                  <w:u w:val="single"/>
                </w:rPr>
                <w:t>Exhibit 10.3 - Form of 2026 Time-Based RSU Agreement (Executive) under the Registrant’s 2019 Plan*</w:t>
              </w:r>
            </w:hyperlink>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executivepsuagreement.htm">
              <w:r>
                <w:rPr>
                  <w:rStyle w:val="InternetLink"/>
                  <w:rFonts w:ascii="Times New Roman;serif" w:hAnsi="Times New Roman;serif"/>
                  <w:b w:val="false"/>
                  <w:color w:val="0000FF"/>
                  <w:sz w:val="20"/>
                  <w:u w:val="single"/>
                </w:rPr>
                <w:t>Exhibit 10.4 - Form of 2026 Performance-Based RSU Agreement under the Registrant’s 2019 Plan*</w:t>
              </w:r>
            </w:hyperlink>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eneraltime-basedrsuagreem.htm">
              <w:r>
                <w:rPr>
                  <w:rStyle w:val="InternetLink"/>
                  <w:rFonts w:ascii="Times New Roman;serif" w:hAnsi="Times New Roman;serif"/>
                  <w:b w:val="false"/>
                  <w:color w:val="000080"/>
                  <w:sz w:val="20"/>
                  <w:u w:val="single"/>
                </w:rPr>
                <w:t>Exhibit 10.5 - Form of 202</w:t>
              </w:r>
            </w:hyperlink>
            <w:hyperlink w:anchor="generaltime-basedrsuagreem.htm">
              <w:r>
                <w:rPr>
                  <w:rStyle w:val="InternetLink"/>
                  <w:rFonts w:ascii="Times New Roman;serif" w:hAnsi="Times New Roman;serif"/>
                  <w:b w:val="false"/>
                  <w:color w:val="000080"/>
                  <w:sz w:val="20"/>
                  <w:u w:val="single"/>
                </w:rPr>
                <w:t>6</w:t>
              </w:r>
            </w:hyperlink>
            <w:hyperlink w:anchor="generaltime-basedrsuagreem.htm">
              <w:r>
                <w:rPr>
                  <w:rStyle w:val="InternetLink"/>
                  <w:rFonts w:ascii="Times New Roman;serif" w:hAnsi="Times New Roman;serif"/>
                  <w:b w:val="false"/>
                  <w:color w:val="000080"/>
                  <w:sz w:val="20"/>
                  <w:u w:val="single"/>
                </w:rPr>
                <w:t xml:space="preserve"> Time-Based RSU Agreement (General) under the Registrant’s 2019 Plan* </w:t>
              </w:r>
            </w:hyperlink>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240" w:after="283"/>
              <w:jc w:val="left"/>
              <w:rPr/>
            </w:pPr>
            <w:hyperlink w:anchor="ospn-2026q2xexx311.htm">
              <w:r>
                <w:rPr>
                  <w:rStyle w:val="InternetLink"/>
                  <w:rFonts w:ascii="Times New Roman;serif" w:hAnsi="Times New Roman;serif"/>
                  <w:b w:val="false"/>
                  <w:color w:val="000080"/>
                  <w:sz w:val="20"/>
                  <w:u w:val="single"/>
                </w:rPr>
                <w:t>Exhibit 31.1 – Rule 13a-14(a)/15d-14(a) Certification of Principal Executive Officer pursuant to Section 302 of the Sarbanes-Oxley Act of 2002, dated</w:t>
              </w:r>
            </w:hyperlink>
            <w:hyperlink w:anchor="ospn-2026q2xexx311.htm">
              <w:r>
                <w:rPr>
                  <w:rStyle w:val="InternetLink"/>
                  <w:rFonts w:ascii="Times New Roman;serif" w:hAnsi="Times New Roman;serif"/>
                  <w:b w:val="false"/>
                  <w:color w:val="000080"/>
                  <w:sz w:val="20"/>
                  <w:u w:val="single"/>
                </w:rPr>
                <w:t xml:space="preserve"> Au</w:t>
              </w:r>
            </w:hyperlink>
            <w:hyperlink w:anchor="ospn-2026q2xexx311.htm">
              <w:r>
                <w:rPr>
                  <w:rStyle w:val="InternetLink"/>
                  <w:rFonts w:ascii="Times New Roman;serif" w:hAnsi="Times New Roman;serif"/>
                  <w:b w:val="false"/>
                  <w:color w:val="000080"/>
                  <w:sz w:val="20"/>
                  <w:u w:val="single"/>
                </w:rPr>
                <w:t>gust 4, 2026</w:t>
              </w:r>
            </w:hyperlink>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240" w:after="283"/>
              <w:jc w:val="left"/>
              <w:rPr/>
            </w:pPr>
            <w:hyperlink w:anchor="ospn-2026q2xexx312.htm">
              <w:r>
                <w:rPr>
                  <w:rStyle w:val="InternetLink"/>
                  <w:rFonts w:ascii="Times New Roman;serif" w:hAnsi="Times New Roman;serif"/>
                  <w:b w:val="false"/>
                  <w:color w:val="000080"/>
                  <w:sz w:val="20"/>
                  <w:u w:val="single"/>
                </w:rPr>
                <w:t xml:space="preserve">Exhibit 31.2 – Rule 13a-14(a)/15d-14(a) Certification of Principal Financial Officer pursuant to Section 302 of the Sarbanes-Oxley Act of 2002, dated </w:t>
              </w:r>
            </w:hyperlink>
            <w:hyperlink w:anchor="ospn-2026q2xexx312.htm">
              <w:r>
                <w:rPr>
                  <w:rStyle w:val="InternetLink"/>
                  <w:rFonts w:ascii="Times New Roman;serif" w:hAnsi="Times New Roman;serif"/>
                  <w:b w:val="false"/>
                  <w:color w:val="000080"/>
                  <w:sz w:val="20"/>
                  <w:u w:val="single"/>
                </w:rPr>
                <w:t>August 4, 2026</w:t>
              </w:r>
            </w:hyperlink>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240" w:after="283"/>
              <w:jc w:val="left"/>
              <w:rPr/>
            </w:pPr>
            <w:hyperlink w:anchor="ospn-2026q2xexx321.htm">
              <w:r>
                <w:rPr>
                  <w:rStyle w:val="InternetLink"/>
                  <w:rFonts w:ascii="Times New Roman;serif" w:hAnsi="Times New Roman;serif"/>
                  <w:b w:val="false"/>
                  <w:color w:val="000080"/>
                  <w:sz w:val="20"/>
                  <w:u w:val="single"/>
                </w:rPr>
                <w:t xml:space="preserve">Exhibit 32.1 – Section 1350 Certification of Principal Executive Officer pursuant to Section 906 of the Sarbanes-Oxley Act of 2002, dated </w:t>
              </w:r>
            </w:hyperlink>
            <w:hyperlink w:anchor="ospn-2026q2xexx321.htm">
              <w:r>
                <w:rPr>
                  <w:rStyle w:val="InternetLink"/>
                  <w:rFonts w:ascii="Times New Roman;serif" w:hAnsi="Times New Roman;serif"/>
                  <w:b w:val="false"/>
                  <w:color w:val="000080"/>
                  <w:sz w:val="20"/>
                  <w:u w:val="single"/>
                </w:rPr>
                <w:t>August 4, 2026</w:t>
              </w:r>
            </w:hyperlink>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ospn-2026q2xexx322.htm">
              <w:r>
                <w:rPr>
                  <w:rStyle w:val="InternetLink"/>
                  <w:rFonts w:ascii="Times New Roman;serif" w:hAnsi="Times New Roman;serif"/>
                  <w:b w:val="false"/>
                  <w:color w:val="000080"/>
                  <w:sz w:val="20"/>
                  <w:u w:val="single"/>
                </w:rPr>
                <w:t xml:space="preserve">Exhibit 32.2 – Section 1350 Certification of Principal Financial Officer pursuant to Section 906 of the Sarbanes-Oxley Act of 2002, dated </w:t>
              </w:r>
            </w:hyperlink>
            <w:hyperlink w:anchor="ospn-2026q2xexx322.htm">
              <w:r>
                <w:rPr>
                  <w:rStyle w:val="InternetLink"/>
                  <w:rFonts w:ascii="Times New Roman;serif" w:hAnsi="Times New Roman;serif"/>
                  <w:b w:val="false"/>
                  <w:color w:val="000080"/>
                  <w:sz w:val="20"/>
                  <w:u w:val="single"/>
                </w:rPr>
                <w:t>August 4, 20</w:t>
              </w:r>
            </w:hyperlink>
            <w:hyperlink w:anchor="ospn-2026q2xexx322.htm">
              <w:r>
                <w:rPr>
                  <w:rStyle w:val="InternetLink"/>
                  <w:rFonts w:ascii="Times New Roman;serif" w:hAnsi="Times New Roman;serif"/>
                  <w:b w:val="false"/>
                  <w:color w:val="000080"/>
                  <w:sz w:val="20"/>
                  <w:u w:val="single"/>
                </w:rPr>
                <w:t>26</w:t>
              </w:r>
            </w:hyperlink>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Exhibit 101.INS – Inline XBRL Instance Document – the instance document does not appear in the Interactive Data File because its XBRL tags are embedded within the Inline XBRL document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101.SCH – Inline XBRL Taxonomy Extension Schema Document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101.CAL – Inline XBRL Taxonomy Extension Calculation Linkbase Document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101.LAB – Inline XBRL Taxonomy Extension Label Linkbase Document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101.PRE – Inline XBRL Taxonomy Extension Presentation Linkbase Document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101.DEF – Inline XBRL Taxonomy Extension Definition Linkbase Document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 – The cover page interactive data file does not appear in the Interactive Data File because its XBRL tags are embedded within the Inline XBRL document</w:t>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*Compensatory plan or management contract.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144" w:after="120"/>
        <w:jc w:val="left"/>
        <w:rPr/>
      </w:pPr>
      <w:hyperlink w:anchor="i8cd906cc957949b7aa94b8387bdfcab1_7">
        <w:r>
          <w:rPr>
            <w:rStyle w:val="InternetLink"/>
            <w:rFonts w:ascii="Times New Roman;serif" w:hAnsi="Times New Roman;serif"/>
            <w:b w:val="false"/>
            <w:color w:val="0E32E1"/>
            <w:sz w:val="20"/>
            <w:u w:val="single"/>
          </w:rPr>
          <w:t>Table of Contents</w:t>
        </w:r>
      </w:hyperlink>
      <w:r>
        <w:rPr>
          <w:color w:val="0E32E1"/>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on August 4, 2026.</w:t>
      </w:r>
    </w:p>
    <w:tbl>
      <w:tblPr>
        <w:tblW w:w="4106" w:type="dxa"/>
        <w:jc w:val="left"/>
        <w:tblInd w:w="0" w:type="dxa"/>
        <w:tblLayout w:type="fixed"/>
        <w:tblCellMar>
          <w:top w:w="28" w:type="dxa"/>
          <w:left w:w="28" w:type="dxa"/>
          <w:bottom w:w="28" w:type="dxa"/>
          <w:right w:w="28" w:type="dxa"/>
        </w:tblCellMar>
      </w:tblPr>
      <w:tblGrid>
        <w:gridCol w:w="124"/>
        <w:gridCol w:w="109"/>
        <w:gridCol w:w="109"/>
        <w:gridCol w:w="1099"/>
        <w:gridCol w:w="1099"/>
        <w:gridCol w:w="15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OneSpan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Victor Limongelli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Victor Limongelli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Jorge Martell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Jorge Martell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Victor Limongelli,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OneSpan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in order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the report based on such evaluation;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fulfilling the equivalent functions):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158" w:type="dxa"/>
        <w:jc w:val="center"/>
        <w:tblInd w:w="0" w:type="dxa"/>
        <w:tblLayout w:type="fixed"/>
        <w:tblCellMar>
          <w:top w:w="28" w:type="dxa"/>
          <w:left w:w="28" w:type="dxa"/>
          <w:bottom w:w="28" w:type="dxa"/>
          <w:right w:w="28" w:type="dxa"/>
        </w:tblCellMar>
      </w:tblPr>
      <w:tblGrid>
        <w:gridCol w:w="705"/>
        <w:gridCol w:w="618"/>
        <w:gridCol w:w="626"/>
        <w:gridCol w:w="939"/>
        <w:gridCol w:w="939"/>
        <w:gridCol w:w="1331"/>
      </w:tblGrid>
      <w:tr>
        <w:trPr/>
        <w:tc>
          <w:tcPr>
            <w:tcW w:w="70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Dated: August 4, 2026</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Victor Limongelli</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Victor Limongelli</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88" w:before="0" w:after="15"/>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Jorge Martell, certify that: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OneSpan Inc.;</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in order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the report based on such evaluation;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fulfilling the equivalent functions):</w:t>
      </w:r>
    </w:p>
    <w:p>
      <w:pPr>
        <w:pStyle w:val="TextBody"/>
        <w:bidi w:val="0"/>
        <w:spacing w:lineRule="auto" w:line="288" w:before="24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40" w:after="283"/>
        <w:ind w:left="0" w:right="0" w:hanging="180"/>
        <w:jc w:val="left"/>
        <w:rPr/>
      </w:pPr>
      <w:r>
        <w:rPr/>
      </w:r>
    </w:p>
    <w:tbl>
      <w:tblPr>
        <w:tblW w:w="5714" w:type="dxa"/>
        <w:jc w:val="center"/>
        <w:tblInd w:w="0" w:type="dxa"/>
        <w:tblLayout w:type="fixed"/>
        <w:tblCellMar>
          <w:top w:w="28" w:type="dxa"/>
          <w:left w:w="28" w:type="dxa"/>
          <w:bottom w:w="28" w:type="dxa"/>
          <w:right w:w="28" w:type="dxa"/>
        </w:tblCellMar>
      </w:tblPr>
      <w:tblGrid>
        <w:gridCol w:w="705"/>
        <w:gridCol w:w="618"/>
        <w:gridCol w:w="626"/>
        <w:gridCol w:w="1102"/>
        <w:gridCol w:w="1102"/>
        <w:gridCol w:w="1561"/>
      </w:tblGrid>
      <w:tr>
        <w:trPr/>
        <w:tc>
          <w:tcPr>
            <w:tcW w:w="70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Dated: August 4, 2026</w:t>
            </w:r>
          </w:p>
        </w:tc>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Jorge Martell</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Jorge Martell</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Victor Limongelli, certify, based upon a review of the Quarterly Report on Form 10-Q for OneSpan Inc. for the second quarter ended June 30, 2026, that to the best of my knowledge: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Registrant.</w:t>
      </w:r>
    </w:p>
    <w:tbl>
      <w:tblPr>
        <w:tblW w:w="3551" w:type="dxa"/>
        <w:jc w:val="left"/>
        <w:tblInd w:w="0" w:type="dxa"/>
        <w:tblLayout w:type="fixed"/>
        <w:tblCellMar>
          <w:top w:w="28" w:type="dxa"/>
          <w:left w:w="28" w:type="dxa"/>
          <w:bottom w:w="28" w:type="dxa"/>
          <w:right w:w="28" w:type="dxa"/>
        </w:tblCellMar>
      </w:tblPr>
      <w:tblGrid>
        <w:gridCol w:w="1150"/>
        <w:gridCol w:w="1013"/>
        <w:gridCol w:w="1016"/>
        <w:gridCol w:w="109"/>
        <w:gridCol w:w="109"/>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Victor Limongelli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Victor Limongelli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Jorge Martell, certify, based upon a review of the Quarterly Report on Form 10-Q for OneSpan Inc. for the second quarter ended on June 30, 2026, that to the best of my knowledge: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Registrant.</w:t>
      </w:r>
    </w:p>
    <w:tbl>
      <w:tblPr>
        <w:tblW w:w="2352" w:type="dxa"/>
        <w:jc w:val="left"/>
        <w:tblInd w:w="0" w:type="dxa"/>
        <w:tblLayout w:type="fixed"/>
        <w:tblCellMar>
          <w:top w:w="28" w:type="dxa"/>
          <w:left w:w="28" w:type="dxa"/>
          <w:bottom w:w="28" w:type="dxa"/>
          <w:right w:w="28" w:type="dxa"/>
        </w:tblCellMar>
      </w:tblPr>
      <w:tblGrid>
        <w:gridCol w:w="717"/>
        <w:gridCol w:w="629"/>
        <w:gridCol w:w="634"/>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Jorge Martell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Jorge Martell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44777/000104477726000034/ar2019omnibusstockincentiv.htm" TargetMode="External"/><Relationship Id="rId3" Type="http://schemas.openxmlformats.org/officeDocument/2006/relationships/hyperlink" Target="https://www.sec.gov/Archives/edgar/data/1044777/000104477726000034/ar2019omnibusstockincentiv.htm" TargetMode="External"/><Relationship Id="rId4" Type="http://schemas.openxmlformats.org/officeDocument/2006/relationships/hyperlink" Target="https://www.sec.gov/Archives/edgar/data/1044777/000104477726000034/ar2019omnibusstockincentiv.htm" TargetMode="External"/><Relationship Id="rId5" Type="http://schemas.openxmlformats.org/officeDocument/2006/relationships/hyperlink" Target="https://www.sec.gov/Archives/edgar/data/1044777/000104477726000034/ar2019omnibusstockincentiv.htm" TargetMode="External"/><Relationship Id="rId6" Type="http://schemas.openxmlformats.org/officeDocument/2006/relationships/hyperlink" Target="https://www.sec.gov/Archives/edgar/data/1044777/000104477726000034/ar2019omnibusstockincentiv.htm" TargetMode="External"/><Relationship Id="rId7" Type="http://schemas.openxmlformats.org/officeDocument/2006/relationships/hyperlink" Target="https://www.sec.gov/Archives/edgar/data/1044777/000104477726000034/ar2019omnibusstockincentiv.htm" TargetMode="External"/><Relationship Id="rId8" Type="http://schemas.openxmlformats.org/officeDocument/2006/relationships/hyperlink" Target="https://www.sec.gov/Archives/edgar/data/1044777/000104477726000034/ar2019omnibusstockincentiv.htm" TargetMode="External"/><Relationship Id="rId9" Type="http://schemas.openxmlformats.org/officeDocument/2006/relationships/hyperlink" Target="https://www.sec.gov/Archives/edgar/data/1044777/000104477726000034/ar2019omnibusstockincentiv.htm" TargetMode="External"/><Relationship Id="rId10" Type="http://schemas.openxmlformats.org/officeDocument/2006/relationships/hyperlink" Target="https://www.sec.gov/Archives/edgar/data/1044777/000104477726000034/ar2019omnibusstockincentiv.htm" TargetMode="External"/><Relationship Id="rId11" Type="http://schemas.openxmlformats.org/officeDocument/2006/relationships/hyperlink" Target="https://www.sec.gov/Archives/edgar/data/1044777/000104477726000034/ar2019omnibusstockincentiv.htm" TargetMode="External"/><Relationship Id="rId12" Type="http://schemas.openxmlformats.org/officeDocument/2006/relationships/hyperlink" Target="https://www.sec.gov/Archives/edgar/data/1044777/000104477726000034/ar2019omnibusstockincentiv.htm" TargetMode="External"/><Relationship Id="rId13" Type="http://schemas.openxmlformats.org/officeDocument/2006/relationships/hyperlink" Target="https://www.sec.gov/Archives/edgar/data/1044777/000104477726000034/ar2019omnibusstockincentiv.htm" TargetMode="External"/><Relationship Id="rId14" Type="http://schemas.openxmlformats.org/officeDocument/2006/relationships/hyperlink" Target="https://www.sec.gov/Archives/edgar/data/1044777/000104477726000034/ar2019omnibusstockincentiv.htm" TargetMode="External"/><Relationship Id="rId15" Type="http://schemas.openxmlformats.org/officeDocument/2006/relationships/hyperlink" Target="https://www.sec.gov/Archives/edgar/data/1044777/000104477726000034/ar2019omnibusstockincentiv.htm" TargetMode="External"/><Relationship Id="rId16" Type="http://schemas.openxmlformats.org/officeDocument/2006/relationships/hyperlink" Target="https://www.sec.gov/Archives/edgar/data/1044777/000104477726000034/ar2019omnibusstockincentiv.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21037</Words>
  <Characters>116803</Characters>
  <CharactersWithSpaces>136435</CharactersWithSpaces>
  <Paragraphs>2923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